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color w:val="auto"/>
        </w:rPr>
      </w:pPr>
      <w:r>
        <w:rPr>
          <w:rFonts w:eastAsia="楷体_GB2312"/>
          <w:color w:val="auto"/>
          <w:sz w:val="28"/>
        </w:rPr>
        <w:t xml:space="preserve">  </w:t>
      </w:r>
    </w:p>
    <w:p>
      <w:pPr>
        <w:rPr>
          <w:color w:val="auto"/>
        </w:rPr>
      </w:pPr>
    </w:p>
    <w:p>
      <w:pPr>
        <w:rPr>
          <w:color w:val="auto"/>
        </w:rPr>
      </w:pPr>
    </w:p>
    <w:p>
      <w:pPr>
        <w:rPr>
          <w:color w:val="auto"/>
        </w:rPr>
      </w:pPr>
    </w:p>
    <w:p>
      <w:pPr>
        <w:rPr>
          <w:color w:val="auto"/>
        </w:rPr>
      </w:pPr>
    </w:p>
    <w:p>
      <w:pPr>
        <w:rPr>
          <w:color w:val="auto"/>
        </w:rPr>
      </w:pPr>
    </w:p>
    <w:p>
      <w:pPr>
        <w:rPr>
          <w:color w:val="auto"/>
        </w:rPr>
      </w:pPr>
      <w:r>
        <w:rPr>
          <w:color w:val="auto"/>
        </w:rPr>
        <w:t xml:space="preserve">   </w:t>
      </w:r>
    </w:p>
    <w:p>
      <w:pPr>
        <w:ind w:right="-89"/>
        <w:jc w:val="center"/>
        <w:rPr>
          <w:rFonts w:eastAsia="华文楷体"/>
          <w:b/>
          <w:color w:val="auto"/>
          <w:sz w:val="48"/>
        </w:rPr>
      </w:pPr>
      <w:r>
        <w:rPr>
          <w:rFonts w:eastAsia="华文楷体"/>
          <w:b/>
          <w:color w:val="auto"/>
          <w:sz w:val="48"/>
        </w:rPr>
        <w:t>建 设 项 目 环 境 影 响 报 告 表</w:t>
      </w: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spacing w:line="360" w:lineRule="auto"/>
        <w:ind w:left="2398" w:leftChars="304" w:hanging="1760" w:hangingChars="550"/>
        <w:jc w:val="center"/>
        <w:rPr>
          <w:rFonts w:hint="default" w:eastAsia="楷体_GB2312"/>
          <w:color w:val="auto"/>
          <w:sz w:val="32"/>
          <w:u w:val="single"/>
          <w:lang w:val="en-US"/>
        </w:rPr>
      </w:pPr>
      <w:r>
        <w:rPr>
          <w:rFonts w:hint="eastAsia" w:eastAsia="楷体_GB2312"/>
          <w:color w:val="auto"/>
          <w:sz w:val="32"/>
          <w:lang w:val="en-US" w:eastAsia="zh-CN"/>
        </w:rPr>
        <w:t xml:space="preserve">      </w:t>
      </w:r>
      <w:r>
        <w:rPr>
          <w:rFonts w:eastAsia="楷体_GB2312"/>
          <w:color w:val="auto"/>
          <w:sz w:val="32"/>
        </w:rPr>
        <w:t>项 目 名 称</w:t>
      </w:r>
      <w:r>
        <w:rPr>
          <w:rFonts w:hint="eastAsia" w:eastAsia="楷体_GB2312"/>
          <w:color w:val="auto"/>
          <w:sz w:val="32"/>
          <w:lang w:eastAsia="zh-CN"/>
        </w:rPr>
        <w:t>：</w:t>
      </w:r>
      <w:r>
        <w:rPr>
          <w:rFonts w:hint="eastAsia" w:ascii="Times New Roman" w:hAnsi="Times New Roman" w:eastAsia="楷体_GB2312" w:cs="Times New Roman"/>
          <w:color w:val="auto"/>
          <w:kern w:val="2"/>
          <w:sz w:val="32"/>
          <w:szCs w:val="22"/>
          <w:u w:val="single"/>
          <w:lang w:val="en-US" w:eastAsia="zh-CN" w:bidi="ar-SA"/>
        </w:rPr>
        <w:t>天然食品添加剂</w:t>
      </w:r>
      <w:r>
        <w:rPr>
          <w:rFonts w:hint="default" w:ascii="Times New Roman" w:hAnsi="Times New Roman" w:eastAsia="楷体_GB2312" w:cs="Times New Roman"/>
          <w:color w:val="auto"/>
          <w:kern w:val="2"/>
          <w:sz w:val="32"/>
          <w:szCs w:val="22"/>
          <w:u w:val="single"/>
          <w:lang w:val="en-US" w:eastAsia="zh-CN" w:bidi="ar-SA"/>
        </w:rPr>
        <w:t>生产项目</w:t>
      </w:r>
      <w:r>
        <w:rPr>
          <w:rFonts w:hint="eastAsia" w:eastAsia="楷体_GB2312" w:cs="Times New Roman"/>
          <w:color w:val="auto"/>
          <w:kern w:val="2"/>
          <w:sz w:val="32"/>
          <w:szCs w:val="22"/>
          <w:u w:val="none"/>
          <w:lang w:val="en-US" w:eastAsia="zh-CN" w:bidi="ar-SA"/>
        </w:rPr>
        <w:t xml:space="preserve"> </w:t>
      </w:r>
      <w:r>
        <w:rPr>
          <w:rFonts w:hint="eastAsia" w:eastAsia="楷体_GB2312" w:cs="Times New Roman"/>
          <w:color w:val="auto"/>
          <w:kern w:val="2"/>
          <w:sz w:val="32"/>
          <w:szCs w:val="22"/>
          <w:u w:val="single"/>
          <w:lang w:val="en-US" w:eastAsia="zh-CN" w:bidi="ar-SA"/>
        </w:rPr>
        <w:t xml:space="preserve"> </w:t>
      </w:r>
      <w:r>
        <w:rPr>
          <w:rFonts w:hint="eastAsia" w:ascii="Times New Roman" w:hAnsi="Times New Roman" w:eastAsia="楷体_GB2312" w:cs="Times New Roman"/>
          <w:color w:val="auto"/>
          <w:kern w:val="2"/>
          <w:sz w:val="32"/>
          <w:szCs w:val="22"/>
          <w:u w:val="single"/>
          <w:lang w:val="en-US" w:eastAsia="zh-CN" w:bidi="ar-SA"/>
        </w:rPr>
        <w:t xml:space="preserve"> </w:t>
      </w:r>
      <w:r>
        <w:rPr>
          <w:rFonts w:hint="eastAsia" w:eastAsia="楷体_GB2312"/>
          <w:color w:val="auto"/>
          <w:sz w:val="32"/>
          <w:szCs w:val="22"/>
          <w:u w:val="none"/>
          <w:lang w:val="en-US" w:eastAsia="zh-CN"/>
        </w:rPr>
        <w:t xml:space="preserve"> </w:t>
      </w:r>
      <w:r>
        <w:rPr>
          <w:rFonts w:hint="eastAsia" w:eastAsia="楷体_GB2312"/>
          <w:color w:val="auto"/>
          <w:sz w:val="32"/>
          <w:szCs w:val="22"/>
          <w:u w:val="single"/>
          <w:lang w:val="en-US" w:eastAsia="zh-CN"/>
        </w:rPr>
        <w:t xml:space="preserve"> </w:t>
      </w:r>
    </w:p>
    <w:p>
      <w:pPr>
        <w:pStyle w:val="12"/>
        <w:spacing w:after="120" w:line="400" w:lineRule="exact"/>
        <w:ind w:firstLine="1600" w:firstLineChars="500"/>
        <w:rPr>
          <w:rFonts w:ascii="Times New Roman" w:hAnsi="Times New Roman"/>
          <w:color w:val="auto"/>
          <w:spacing w:val="-20"/>
          <w:sz w:val="24"/>
          <w:szCs w:val="32"/>
          <w:u w:val="single"/>
        </w:rPr>
      </w:pPr>
      <w:r>
        <w:rPr>
          <w:rFonts w:ascii="Times New Roman" w:hAnsi="Times New Roman" w:eastAsia="楷体_GB2312" w:cs="Times New Roman"/>
          <w:color w:val="auto"/>
          <w:kern w:val="2"/>
          <w:sz w:val="32"/>
          <w:szCs w:val="22"/>
          <w:lang w:val="en-US" w:eastAsia="zh-CN" w:bidi="ar-SA"/>
        </w:rPr>
        <w:t>建设单位(盖章)</w:t>
      </w:r>
      <w:r>
        <w:rPr>
          <w:rFonts w:hint="eastAsia" w:asciiTheme="minorEastAsia" w:hAnsiTheme="minorEastAsia" w:eastAsiaTheme="minorEastAsia" w:cstheme="minorEastAsia"/>
          <w:color w:val="auto"/>
          <w:kern w:val="2"/>
          <w:sz w:val="32"/>
          <w:szCs w:val="22"/>
          <w:lang w:val="en-US" w:eastAsia="zh-CN" w:bidi="ar-SA"/>
        </w:rPr>
        <w:t>:</w:t>
      </w:r>
      <w:r>
        <w:rPr>
          <w:rFonts w:ascii="Times New Roman" w:hAnsi="Times New Roman" w:eastAsia="楷体_GB2312" w:cs="Times New Roman"/>
          <w:color w:val="auto"/>
          <w:kern w:val="2"/>
          <w:sz w:val="32"/>
          <w:szCs w:val="22"/>
          <w:lang w:val="en-US" w:eastAsia="zh-CN" w:bidi="ar-SA"/>
        </w:rPr>
        <w:t xml:space="preserve"> </w:t>
      </w:r>
      <w:r>
        <w:rPr>
          <w:rFonts w:hint="eastAsia" w:ascii="Times New Roman" w:hAnsi="Times New Roman" w:eastAsia="楷体_GB2312" w:cs="Times New Roman"/>
          <w:color w:val="auto"/>
          <w:kern w:val="2"/>
          <w:sz w:val="32"/>
          <w:szCs w:val="22"/>
          <w:u w:val="single"/>
          <w:lang w:val="en-US" w:eastAsia="zh-CN" w:bidi="ar-SA"/>
        </w:rPr>
        <w:t xml:space="preserve"> </w:t>
      </w:r>
      <w:r>
        <w:rPr>
          <w:rFonts w:hint="default" w:ascii="Times New Roman" w:hAnsi="Times New Roman" w:eastAsia="楷体_GB2312" w:cs="Times New Roman"/>
          <w:color w:val="auto"/>
          <w:kern w:val="2"/>
          <w:sz w:val="32"/>
          <w:szCs w:val="22"/>
          <w:u w:val="single"/>
          <w:lang w:val="en-US" w:eastAsia="zh-CN" w:bidi="ar-SA"/>
        </w:rPr>
        <w:t>青岛瑞翰天成生物科技有限公司</w:t>
      </w:r>
      <w:r>
        <w:rPr>
          <w:rFonts w:hint="eastAsia" w:ascii="Times New Roman" w:hAnsi="Times New Roman" w:eastAsia="楷体_GB2312" w:cs="Times New Roman"/>
          <w:color w:val="auto"/>
          <w:kern w:val="2"/>
          <w:sz w:val="32"/>
          <w:szCs w:val="22"/>
          <w:u w:val="single"/>
          <w:lang w:val="en-US" w:eastAsia="zh-CN" w:bidi="ar-SA"/>
        </w:rPr>
        <w:t xml:space="preserve">  </w:t>
      </w:r>
      <w:r>
        <w:rPr>
          <w:rFonts w:hint="eastAsia" w:eastAsia="楷体_GB2312" w:cs="Times New Roman"/>
          <w:color w:val="auto"/>
          <w:kern w:val="2"/>
          <w:sz w:val="32"/>
          <w:szCs w:val="22"/>
          <w:u w:val="none"/>
          <w:lang w:val="en-US" w:eastAsia="zh-CN" w:bidi="ar-SA"/>
        </w:rPr>
        <w:t xml:space="preserve">  </w:t>
      </w:r>
      <w:r>
        <w:rPr>
          <w:rFonts w:hint="eastAsia" w:ascii="Times New Roman" w:hAnsi="Times New Roman" w:eastAsia="楷体_GB2312" w:cs="Times New Roman"/>
          <w:color w:val="auto"/>
          <w:kern w:val="2"/>
          <w:sz w:val="32"/>
          <w:szCs w:val="22"/>
          <w:u w:val="single"/>
          <w:lang w:val="en-US" w:eastAsia="zh-CN" w:bidi="ar-SA"/>
        </w:rPr>
        <w:t xml:space="preserve">  </w:t>
      </w:r>
      <w:r>
        <w:rPr>
          <w:rFonts w:ascii="Times New Roman" w:hAnsi="Times New Roman"/>
          <w:color w:val="auto"/>
          <w:spacing w:val="-20"/>
          <w:szCs w:val="32"/>
          <w:u w:val="single"/>
        </w:rPr>
        <w:t xml:space="preserve">       </w:t>
      </w:r>
    </w:p>
    <w:p>
      <w:pPr>
        <w:spacing w:line="360" w:lineRule="auto"/>
        <w:rPr>
          <w:color w:val="auto"/>
          <w:u w:val="single"/>
        </w:rPr>
      </w:pPr>
    </w:p>
    <w:p>
      <w:pPr>
        <w:rPr>
          <w:color w:val="auto"/>
          <w:u w:val="single"/>
        </w:rPr>
      </w:pPr>
    </w:p>
    <w:p>
      <w:pPr>
        <w:rPr>
          <w:color w:val="auto"/>
          <w:u w:val="single"/>
        </w:rPr>
      </w:pPr>
    </w:p>
    <w:p>
      <w:pPr>
        <w:rPr>
          <w:color w:val="auto"/>
          <w:u w:val="single"/>
        </w:rPr>
      </w:pPr>
    </w:p>
    <w:p>
      <w:pPr>
        <w:rPr>
          <w:color w:val="auto"/>
          <w:u w:val="single"/>
        </w:rPr>
      </w:pPr>
    </w:p>
    <w:p>
      <w:pPr>
        <w:rPr>
          <w:color w:val="auto"/>
          <w:u w:val="single"/>
        </w:rPr>
      </w:pPr>
    </w:p>
    <w:p>
      <w:pPr>
        <w:rPr>
          <w:color w:val="auto"/>
          <w:u w:val="single"/>
        </w:rPr>
      </w:pPr>
    </w:p>
    <w:p>
      <w:pPr>
        <w:rPr>
          <w:color w:val="auto"/>
          <w:u w:val="single"/>
        </w:rPr>
      </w:pPr>
    </w:p>
    <w:p>
      <w:pPr>
        <w:rPr>
          <w:rFonts w:eastAsia="楷体_GB2312"/>
          <w:color w:val="auto"/>
          <w:sz w:val="32"/>
          <w:szCs w:val="32"/>
        </w:rPr>
      </w:pPr>
      <w:r>
        <w:rPr>
          <w:rFonts w:eastAsia="楷体_GB2312"/>
          <w:color w:val="auto"/>
          <w:sz w:val="32"/>
        </w:rPr>
        <w:t xml:space="preserve">                </w:t>
      </w:r>
      <w:r>
        <w:rPr>
          <w:rFonts w:eastAsia="楷体_GB2312"/>
          <w:color w:val="auto"/>
          <w:sz w:val="32"/>
          <w:szCs w:val="32"/>
        </w:rPr>
        <w:t>编 制 日 期: 20</w:t>
      </w:r>
      <w:r>
        <w:rPr>
          <w:rFonts w:hint="eastAsia" w:eastAsia="楷体_GB2312"/>
          <w:color w:val="auto"/>
          <w:sz w:val="32"/>
          <w:szCs w:val="32"/>
          <w:lang w:val="en-US" w:eastAsia="zh-CN"/>
        </w:rPr>
        <w:t>20</w:t>
      </w:r>
      <w:r>
        <w:rPr>
          <w:rFonts w:eastAsia="楷体_GB2312"/>
          <w:color w:val="auto"/>
          <w:sz w:val="32"/>
          <w:szCs w:val="32"/>
        </w:rPr>
        <w:t>年</w:t>
      </w:r>
      <w:r>
        <w:rPr>
          <w:rFonts w:hint="eastAsia" w:eastAsia="楷体_GB2312"/>
          <w:color w:val="auto"/>
          <w:sz w:val="32"/>
          <w:szCs w:val="32"/>
          <w:lang w:val="en-US" w:eastAsia="zh-CN"/>
        </w:rPr>
        <w:t>3</w:t>
      </w:r>
      <w:r>
        <w:rPr>
          <w:rFonts w:eastAsia="楷体_GB2312"/>
          <w:color w:val="auto"/>
          <w:sz w:val="32"/>
          <w:szCs w:val="32"/>
        </w:rPr>
        <w:t>月</w:t>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Ansi="宋体"/>
          <w:b/>
          <w:spacing w:val="6"/>
          <w:sz w:val="32"/>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b/>
          <w:spacing w:val="6"/>
          <w:sz w:val="32"/>
        </w:rPr>
      </w:pPr>
      <w:r>
        <w:rPr>
          <w:rFonts w:hAnsi="宋体"/>
          <w:b/>
          <w:spacing w:val="6"/>
          <w:sz w:val="32"/>
        </w:rPr>
        <w:t>《建设项目环境影响报告表》编制说明</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sz w:val="28"/>
        </w:rPr>
      </w:pPr>
      <w:r>
        <w:rPr>
          <w:rFonts w:hint="eastAsia"/>
          <w:sz w:val="28"/>
        </w:rPr>
        <w:t>《建设项目环境影响报告表》由具有从事环境影响评价工作资质的单位编制。</w:t>
      </w:r>
    </w:p>
    <w:p>
      <w:pPr>
        <w:keepNext w:val="0"/>
        <w:keepLines w:val="0"/>
        <w:pageBreakBefore w:val="0"/>
        <w:widowControl w:val="0"/>
        <w:kinsoku/>
        <w:wordWrap/>
        <w:overflowPunct/>
        <w:topLinePunct w:val="0"/>
        <w:autoSpaceDE/>
        <w:autoSpaceDN/>
        <w:bidi w:val="0"/>
        <w:adjustRightInd w:val="0"/>
        <w:snapToGrid w:val="0"/>
        <w:spacing w:line="360" w:lineRule="auto"/>
        <w:ind w:firstLine="570"/>
        <w:textAlignment w:val="auto"/>
        <w:rPr>
          <w:rFonts w:hint="eastAsia"/>
          <w:sz w:val="28"/>
        </w:rPr>
      </w:pPr>
      <w:r>
        <w:rPr>
          <w:rFonts w:hint="eastAsia"/>
          <w:sz w:val="28"/>
        </w:rPr>
        <w:t>1．项目名称――指项目立项批复时的名称，应不超过30个字（两个英文字段作一个汉字）。</w:t>
      </w:r>
    </w:p>
    <w:p>
      <w:pPr>
        <w:keepNext w:val="0"/>
        <w:keepLines w:val="0"/>
        <w:pageBreakBefore w:val="0"/>
        <w:widowControl w:val="0"/>
        <w:kinsoku/>
        <w:wordWrap/>
        <w:overflowPunct/>
        <w:topLinePunct w:val="0"/>
        <w:autoSpaceDE/>
        <w:autoSpaceDN/>
        <w:bidi w:val="0"/>
        <w:adjustRightInd w:val="0"/>
        <w:snapToGrid w:val="0"/>
        <w:spacing w:line="360" w:lineRule="auto"/>
        <w:ind w:firstLine="570"/>
        <w:textAlignment w:val="auto"/>
        <w:rPr>
          <w:rFonts w:hint="eastAsia"/>
          <w:sz w:val="28"/>
        </w:rPr>
      </w:pPr>
      <w:r>
        <w:rPr>
          <w:rFonts w:hint="eastAsia"/>
          <w:sz w:val="28"/>
        </w:rPr>
        <w:t>2．建设地点――指项目所在地详细地址，公路、铁路应填写起止地点。</w:t>
      </w:r>
    </w:p>
    <w:p>
      <w:pPr>
        <w:keepNext w:val="0"/>
        <w:keepLines w:val="0"/>
        <w:pageBreakBefore w:val="0"/>
        <w:widowControl w:val="0"/>
        <w:kinsoku/>
        <w:wordWrap/>
        <w:overflowPunct/>
        <w:topLinePunct w:val="0"/>
        <w:autoSpaceDE/>
        <w:autoSpaceDN/>
        <w:bidi w:val="0"/>
        <w:adjustRightInd w:val="0"/>
        <w:snapToGrid w:val="0"/>
        <w:spacing w:line="360" w:lineRule="auto"/>
        <w:ind w:firstLine="570"/>
        <w:textAlignment w:val="auto"/>
        <w:rPr>
          <w:rFonts w:hint="eastAsia"/>
          <w:sz w:val="28"/>
        </w:rPr>
      </w:pPr>
      <w:r>
        <w:rPr>
          <w:rFonts w:hint="eastAsia"/>
          <w:sz w:val="28"/>
        </w:rPr>
        <w:t>3．行业类别――按国标填写。</w:t>
      </w:r>
    </w:p>
    <w:p>
      <w:pPr>
        <w:keepNext w:val="0"/>
        <w:keepLines w:val="0"/>
        <w:pageBreakBefore w:val="0"/>
        <w:widowControl w:val="0"/>
        <w:kinsoku/>
        <w:wordWrap/>
        <w:overflowPunct/>
        <w:topLinePunct w:val="0"/>
        <w:autoSpaceDE/>
        <w:autoSpaceDN/>
        <w:bidi w:val="0"/>
        <w:adjustRightInd w:val="0"/>
        <w:snapToGrid w:val="0"/>
        <w:spacing w:line="360" w:lineRule="auto"/>
        <w:ind w:firstLine="570"/>
        <w:textAlignment w:val="auto"/>
        <w:rPr>
          <w:rFonts w:hint="eastAsia"/>
          <w:sz w:val="28"/>
        </w:rPr>
      </w:pPr>
      <w:r>
        <w:rPr>
          <w:rFonts w:hint="eastAsia"/>
          <w:sz w:val="28"/>
        </w:rPr>
        <w:t>4．总投资――指项目投资总额。</w:t>
      </w:r>
    </w:p>
    <w:p>
      <w:pPr>
        <w:keepNext w:val="0"/>
        <w:keepLines w:val="0"/>
        <w:pageBreakBefore w:val="0"/>
        <w:widowControl w:val="0"/>
        <w:kinsoku/>
        <w:wordWrap/>
        <w:overflowPunct/>
        <w:topLinePunct w:val="0"/>
        <w:autoSpaceDE/>
        <w:autoSpaceDN/>
        <w:bidi w:val="0"/>
        <w:adjustRightInd w:val="0"/>
        <w:snapToGrid w:val="0"/>
        <w:spacing w:line="360" w:lineRule="auto"/>
        <w:ind w:firstLine="570"/>
        <w:textAlignment w:val="auto"/>
        <w:rPr>
          <w:rFonts w:hint="eastAsia"/>
          <w:sz w:val="28"/>
        </w:rPr>
      </w:pPr>
      <w:r>
        <w:rPr>
          <w:rFonts w:hint="eastAsia"/>
          <w:sz w:val="28"/>
        </w:rPr>
        <w:t>5．主要环境保护目标――指项目区周围一定范围内集中居民住宅区、学校、医院、保护文物、风景名胜区、水源地和生态敏感点等，应尽可能给出保护目标、性质、规模和距厂界距离等。</w:t>
      </w:r>
    </w:p>
    <w:p>
      <w:pPr>
        <w:keepNext w:val="0"/>
        <w:keepLines w:val="0"/>
        <w:pageBreakBefore w:val="0"/>
        <w:widowControl w:val="0"/>
        <w:kinsoku/>
        <w:wordWrap/>
        <w:overflowPunct/>
        <w:topLinePunct w:val="0"/>
        <w:autoSpaceDE/>
        <w:autoSpaceDN/>
        <w:bidi w:val="0"/>
        <w:adjustRightInd w:val="0"/>
        <w:snapToGrid w:val="0"/>
        <w:spacing w:line="360" w:lineRule="auto"/>
        <w:ind w:firstLine="570"/>
        <w:textAlignment w:val="auto"/>
        <w:rPr>
          <w:rFonts w:hint="eastAsia"/>
          <w:sz w:val="28"/>
        </w:rPr>
      </w:pPr>
      <w:r>
        <w:rPr>
          <w:rFonts w:hint="eastAsia"/>
          <w:sz w:val="28"/>
        </w:rPr>
        <w:t>6．结论与建议――给出本项目清洁生产、达标排放和总量控制的分析结论，确定污染防治措施的有效性，说明本项目对环境造成的影响，给出建设项目环境可行性的明确结论。同时提出减少环境影响的其他建议。</w:t>
      </w:r>
    </w:p>
    <w:p>
      <w:pPr>
        <w:keepNext w:val="0"/>
        <w:keepLines w:val="0"/>
        <w:pageBreakBefore w:val="0"/>
        <w:widowControl w:val="0"/>
        <w:kinsoku/>
        <w:wordWrap/>
        <w:overflowPunct/>
        <w:topLinePunct w:val="0"/>
        <w:autoSpaceDE/>
        <w:autoSpaceDN/>
        <w:bidi w:val="0"/>
        <w:adjustRightInd w:val="0"/>
        <w:snapToGrid w:val="0"/>
        <w:spacing w:line="360" w:lineRule="auto"/>
        <w:ind w:firstLine="570"/>
        <w:textAlignment w:val="auto"/>
        <w:rPr>
          <w:rFonts w:hint="eastAsia"/>
          <w:sz w:val="28"/>
        </w:rPr>
      </w:pPr>
      <w:r>
        <w:rPr>
          <w:rFonts w:hint="eastAsia"/>
          <w:sz w:val="28"/>
        </w:rPr>
        <w:t>7．预审意见――由行业主管部门填写答复意见，无主管部门项目，可不填。</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sz w:val="28"/>
        </w:rPr>
        <w:sectPr>
          <w:footerReference r:id="rId3" w:type="default"/>
          <w:pgSz w:w="11906" w:h="16838"/>
          <w:pgMar w:top="1701" w:right="1588" w:bottom="1985" w:left="1588" w:header="851" w:footer="1134" w:gutter="0"/>
          <w:pgBorders w:offsetFrom="page">
            <w:top w:val="none" w:sz="0" w:space="0"/>
            <w:left w:val="none" w:sz="0" w:space="0"/>
            <w:bottom w:val="none" w:sz="0" w:space="0"/>
            <w:right w:val="none" w:sz="0" w:space="0"/>
          </w:pgBorders>
          <w:pgNumType w:start="1"/>
          <w:cols w:space="720" w:num="1"/>
          <w:docGrid w:type="lines" w:linePitch="312" w:charSpace="0"/>
        </w:sectPr>
      </w:pPr>
      <w:r>
        <w:rPr>
          <w:rFonts w:hint="eastAsia"/>
          <w:sz w:val="28"/>
        </w:rPr>
        <w:t>8．审批意见――由负责审批该项目的环境保护行政主管部门批复。</w:t>
      </w:r>
    </w:p>
    <w:p>
      <w:pPr>
        <w:spacing w:line="360" w:lineRule="auto"/>
        <w:outlineLvl w:val="0"/>
        <w:rPr>
          <w:rFonts w:hint="eastAsia" w:ascii="黑体" w:hAnsi="宋体" w:eastAsia="黑体"/>
          <w:b w:val="0"/>
          <w:bCs w:val="0"/>
          <w:sz w:val="28"/>
          <w:szCs w:val="28"/>
        </w:rPr>
      </w:pPr>
      <w:bookmarkStart w:id="0" w:name="_Toc523785280"/>
      <w:r>
        <w:rPr>
          <w:rFonts w:hint="eastAsia" w:ascii="黑体" w:hAnsi="宋体" w:eastAsia="黑体"/>
          <w:b w:val="0"/>
          <w:bCs w:val="0"/>
          <w:sz w:val="28"/>
          <w:szCs w:val="28"/>
        </w:rPr>
        <w:t>建设项目基本情况</w:t>
      </w:r>
      <w:bookmarkEnd w:id="0"/>
    </w:p>
    <w:tbl>
      <w:tblPr>
        <w:tblStyle w:val="37"/>
        <w:tblW w:w="0" w:type="auto"/>
        <w:tblInd w:w="93"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522"/>
        <w:gridCol w:w="1370"/>
        <w:gridCol w:w="427"/>
        <w:gridCol w:w="518"/>
        <w:gridCol w:w="668"/>
        <w:gridCol w:w="1483"/>
        <w:gridCol w:w="1400"/>
        <w:gridCol w:w="146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0" w:hRule="atLeast"/>
        </w:trPr>
        <w:tc>
          <w:tcPr>
            <w:tcW w:w="1522" w:type="dxa"/>
            <w:noWrap w:val="0"/>
            <w:vAlign w:val="center"/>
          </w:tcPr>
          <w:p>
            <w:pPr>
              <w:spacing w:line="360" w:lineRule="exact"/>
              <w:jc w:val="center"/>
              <w:rPr>
                <w:rFonts w:hint="eastAsia" w:ascii="宋体" w:hAnsi="宋体" w:cs="宋体"/>
                <w:sz w:val="24"/>
                <w:szCs w:val="24"/>
              </w:rPr>
            </w:pPr>
            <w:r>
              <w:rPr>
                <w:rFonts w:hint="eastAsia" w:ascii="宋体" w:hAnsi="宋体" w:cs="宋体"/>
                <w:sz w:val="24"/>
                <w:szCs w:val="24"/>
              </w:rPr>
              <w:t>项目名称</w:t>
            </w:r>
          </w:p>
        </w:tc>
        <w:tc>
          <w:tcPr>
            <w:tcW w:w="7331" w:type="dxa"/>
            <w:gridSpan w:val="7"/>
            <w:noWrap w:val="0"/>
            <w:vAlign w:val="center"/>
          </w:tcPr>
          <w:p>
            <w:pPr>
              <w:spacing w:line="360" w:lineRule="exact"/>
              <w:jc w:val="center"/>
              <w:rPr>
                <w:rFonts w:hint="default" w:ascii="Times New Roman" w:hAnsi="Times New Roman" w:cs="Times New Roman" w:eastAsiaTheme="minorEastAsia"/>
                <w:b w:val="0"/>
                <w:bCs/>
                <w:sz w:val="24"/>
                <w:szCs w:val="24"/>
              </w:rPr>
            </w:pPr>
            <w:r>
              <w:rPr>
                <w:rFonts w:hint="eastAsia" w:cs="Times New Roman" w:eastAsiaTheme="minorEastAsia"/>
                <w:b w:val="0"/>
                <w:bCs/>
                <w:sz w:val="24"/>
                <w:lang w:val="en-US" w:eastAsia="zh-CN"/>
              </w:rPr>
              <w:t>天然食品添加剂</w:t>
            </w:r>
            <w:r>
              <w:rPr>
                <w:rFonts w:hint="default" w:ascii="Times New Roman" w:hAnsi="Times New Roman" w:cs="Times New Roman" w:eastAsiaTheme="minorEastAsia"/>
                <w:b w:val="0"/>
                <w:bCs/>
                <w:sz w:val="24"/>
                <w:lang w:eastAsia="zh-CN"/>
              </w:rPr>
              <w:t>生产项目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522" w:type="dxa"/>
            <w:noWrap w:val="0"/>
            <w:vAlign w:val="center"/>
          </w:tcPr>
          <w:p>
            <w:pPr>
              <w:spacing w:line="360" w:lineRule="exact"/>
              <w:jc w:val="center"/>
              <w:rPr>
                <w:rFonts w:hint="eastAsia" w:ascii="宋体" w:hAnsi="宋体" w:cs="宋体"/>
                <w:sz w:val="24"/>
                <w:szCs w:val="24"/>
              </w:rPr>
            </w:pPr>
            <w:r>
              <w:rPr>
                <w:rFonts w:hint="eastAsia" w:ascii="宋体" w:hAnsi="宋体" w:cs="宋体"/>
                <w:sz w:val="24"/>
                <w:szCs w:val="24"/>
              </w:rPr>
              <w:t>建设单位</w:t>
            </w:r>
          </w:p>
        </w:tc>
        <w:tc>
          <w:tcPr>
            <w:tcW w:w="7331" w:type="dxa"/>
            <w:gridSpan w:val="7"/>
            <w:noWrap w:val="0"/>
            <w:vAlign w:val="center"/>
          </w:tcPr>
          <w:p>
            <w:pPr>
              <w:spacing w:line="360" w:lineRule="exact"/>
              <w:jc w:val="center"/>
              <w:rPr>
                <w:rFonts w:hint="default" w:ascii="Times New Roman" w:hAnsi="Times New Roman" w:cs="Times New Roman" w:eastAsiaTheme="minorEastAsia"/>
                <w:b w:val="0"/>
                <w:bCs/>
                <w:sz w:val="24"/>
                <w:szCs w:val="24"/>
              </w:rPr>
            </w:pPr>
            <w:r>
              <w:rPr>
                <w:rFonts w:hint="default" w:ascii="Times New Roman" w:hAnsi="Times New Roman" w:cs="Times New Roman" w:eastAsiaTheme="minorEastAsia"/>
                <w:b w:val="0"/>
                <w:bCs/>
                <w:sz w:val="24"/>
                <w:lang w:eastAsia="zh-CN"/>
              </w:rPr>
              <w:t>青岛瑞翰天成生物科技有限公司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4" w:hRule="atLeast"/>
        </w:trPr>
        <w:tc>
          <w:tcPr>
            <w:tcW w:w="1522" w:type="dxa"/>
            <w:noWrap w:val="0"/>
            <w:vAlign w:val="center"/>
          </w:tcPr>
          <w:p>
            <w:pPr>
              <w:spacing w:line="360" w:lineRule="exact"/>
              <w:jc w:val="center"/>
              <w:rPr>
                <w:rFonts w:hint="eastAsia" w:ascii="宋体" w:hAnsi="宋体" w:cs="宋体"/>
                <w:sz w:val="24"/>
                <w:szCs w:val="24"/>
              </w:rPr>
            </w:pPr>
            <w:r>
              <w:rPr>
                <w:rFonts w:hint="eastAsia" w:ascii="宋体" w:hAnsi="宋体" w:cs="宋体"/>
                <w:sz w:val="24"/>
                <w:szCs w:val="24"/>
              </w:rPr>
              <w:t>法人代表</w:t>
            </w:r>
          </w:p>
        </w:tc>
        <w:tc>
          <w:tcPr>
            <w:tcW w:w="2315" w:type="dxa"/>
            <w:gridSpan w:val="3"/>
            <w:noWrap w:val="0"/>
            <w:vAlign w:val="center"/>
          </w:tcPr>
          <w:p>
            <w:pPr>
              <w:spacing w:line="360" w:lineRule="exact"/>
              <w:jc w:val="center"/>
              <w:rPr>
                <w:rFonts w:hint="eastAsia" w:ascii="Times New Roman" w:hAnsi="Times New Roman" w:cs="Times New Roman" w:eastAsiaTheme="minorEastAsia"/>
                <w:b w:val="0"/>
                <w:bCs/>
                <w:sz w:val="24"/>
                <w:szCs w:val="22"/>
                <w:lang w:eastAsia="zh-CN"/>
              </w:rPr>
            </w:pPr>
            <w:r>
              <w:rPr>
                <w:rFonts w:hint="eastAsia" w:ascii="Times New Roman" w:hAnsi="Times New Roman" w:cs="Times New Roman" w:eastAsiaTheme="minorEastAsia"/>
                <w:b w:val="0"/>
                <w:bCs/>
                <w:sz w:val="24"/>
                <w:szCs w:val="22"/>
                <w:lang w:eastAsia="zh-CN"/>
              </w:rPr>
              <w:t>孙宗军</w:t>
            </w:r>
            <w:r>
              <w:rPr>
                <w:rFonts w:hint="eastAsia" w:ascii="Times New Roman" w:hAnsi="Times New Roman" w:cs="Times New Roman" w:eastAsiaTheme="minorEastAsia"/>
                <w:b w:val="0"/>
                <w:bCs/>
                <w:sz w:val="24"/>
                <w:szCs w:val="22"/>
                <w:lang w:val="en-US" w:eastAsia="zh-CN"/>
              </w:rPr>
              <w:t xml:space="preserve"> </w:t>
            </w:r>
          </w:p>
        </w:tc>
        <w:tc>
          <w:tcPr>
            <w:tcW w:w="2151" w:type="dxa"/>
            <w:gridSpan w:val="2"/>
            <w:noWrap w:val="0"/>
            <w:vAlign w:val="center"/>
          </w:tcPr>
          <w:p>
            <w:pPr>
              <w:spacing w:line="360" w:lineRule="exact"/>
              <w:jc w:val="center"/>
              <w:rPr>
                <w:rFonts w:hint="eastAsia" w:ascii="Times New Roman" w:hAnsi="Times New Roman" w:cs="Times New Roman" w:eastAsiaTheme="minorEastAsia"/>
                <w:b w:val="0"/>
                <w:bCs/>
                <w:sz w:val="24"/>
                <w:szCs w:val="22"/>
                <w:lang w:eastAsia="zh-CN"/>
              </w:rPr>
            </w:pPr>
            <w:r>
              <w:rPr>
                <w:rFonts w:hint="eastAsia" w:ascii="Times New Roman" w:hAnsi="Times New Roman" w:cs="Times New Roman" w:eastAsiaTheme="minorEastAsia"/>
                <w:b w:val="0"/>
                <w:bCs/>
                <w:sz w:val="24"/>
                <w:szCs w:val="22"/>
                <w:lang w:eastAsia="zh-CN"/>
              </w:rPr>
              <w:t>联系人</w:t>
            </w:r>
          </w:p>
        </w:tc>
        <w:tc>
          <w:tcPr>
            <w:tcW w:w="2865" w:type="dxa"/>
            <w:gridSpan w:val="2"/>
            <w:noWrap w:val="0"/>
            <w:vAlign w:val="center"/>
          </w:tcPr>
          <w:p>
            <w:pPr>
              <w:spacing w:line="360" w:lineRule="exact"/>
              <w:jc w:val="center"/>
              <w:rPr>
                <w:rFonts w:hint="default" w:ascii="Times New Roman" w:hAnsi="Times New Roman" w:cs="Times New Roman" w:eastAsiaTheme="minorEastAsia"/>
                <w:b w:val="0"/>
                <w:bCs/>
                <w:sz w:val="24"/>
                <w:szCs w:val="22"/>
                <w:lang w:val="en-US" w:eastAsia="zh-CN"/>
              </w:rPr>
            </w:pPr>
            <w:r>
              <w:rPr>
                <w:rFonts w:hint="eastAsia" w:ascii="Times New Roman" w:hAnsi="Times New Roman" w:cs="Times New Roman" w:eastAsiaTheme="minorEastAsia"/>
                <w:b w:val="0"/>
                <w:bCs/>
                <w:sz w:val="24"/>
                <w:szCs w:val="22"/>
                <w:lang w:eastAsia="zh-CN"/>
              </w:rPr>
              <w:t>刘晓彬</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522" w:type="dxa"/>
            <w:noWrap w:val="0"/>
            <w:vAlign w:val="center"/>
          </w:tcPr>
          <w:p>
            <w:pPr>
              <w:spacing w:line="360" w:lineRule="exact"/>
              <w:jc w:val="center"/>
              <w:rPr>
                <w:rFonts w:hint="eastAsia" w:ascii="宋体" w:hAnsi="宋体" w:cs="宋体"/>
                <w:sz w:val="24"/>
                <w:szCs w:val="24"/>
              </w:rPr>
            </w:pPr>
            <w:r>
              <w:rPr>
                <w:rFonts w:hint="eastAsia" w:ascii="宋体" w:hAnsi="宋体" w:cs="宋体"/>
                <w:sz w:val="24"/>
                <w:szCs w:val="24"/>
              </w:rPr>
              <w:t>通讯地址</w:t>
            </w:r>
          </w:p>
        </w:tc>
        <w:tc>
          <w:tcPr>
            <w:tcW w:w="7331" w:type="dxa"/>
            <w:gridSpan w:val="7"/>
            <w:noWrap w:val="0"/>
            <w:vAlign w:val="center"/>
          </w:tcPr>
          <w:p>
            <w:pPr>
              <w:spacing w:line="360" w:lineRule="exact"/>
              <w:jc w:val="center"/>
              <w:rPr>
                <w:rFonts w:hint="default" w:ascii="Times New Roman" w:hAnsi="Times New Roman" w:cs="Times New Roman" w:eastAsiaTheme="minorEastAsia"/>
                <w:b w:val="0"/>
                <w:bCs/>
                <w:sz w:val="24"/>
                <w:szCs w:val="22"/>
                <w:lang w:val="en-US" w:eastAsia="zh-CN"/>
              </w:rPr>
            </w:pPr>
            <w:r>
              <w:rPr>
                <w:rFonts w:hint="eastAsia" w:ascii="Times New Roman" w:hAnsi="Times New Roman" w:cs="Times New Roman" w:eastAsiaTheme="minorEastAsia"/>
                <w:b w:val="0"/>
                <w:bCs/>
                <w:sz w:val="24"/>
                <w:szCs w:val="22"/>
                <w:lang w:eastAsia="zh-CN"/>
              </w:rPr>
              <w:t>青岛西海岸新区大珠山路东、隐珠山路北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1" w:hRule="atLeast"/>
        </w:trPr>
        <w:tc>
          <w:tcPr>
            <w:tcW w:w="1522" w:type="dxa"/>
            <w:noWrap w:val="0"/>
            <w:vAlign w:val="center"/>
          </w:tcPr>
          <w:p>
            <w:pPr>
              <w:spacing w:line="360" w:lineRule="exact"/>
              <w:jc w:val="center"/>
              <w:rPr>
                <w:rFonts w:hint="eastAsia" w:ascii="宋体" w:hAnsi="宋体" w:cs="宋体"/>
                <w:sz w:val="24"/>
                <w:szCs w:val="24"/>
              </w:rPr>
            </w:pPr>
            <w:r>
              <w:rPr>
                <w:rFonts w:hint="eastAsia" w:ascii="宋体" w:hAnsi="宋体" w:cs="宋体"/>
                <w:sz w:val="24"/>
                <w:szCs w:val="24"/>
              </w:rPr>
              <w:t>联系电话</w:t>
            </w:r>
          </w:p>
        </w:tc>
        <w:tc>
          <w:tcPr>
            <w:tcW w:w="1797" w:type="dxa"/>
            <w:gridSpan w:val="2"/>
            <w:noWrap w:val="0"/>
            <w:vAlign w:val="center"/>
          </w:tcPr>
          <w:p>
            <w:pPr>
              <w:spacing w:line="360" w:lineRule="exact"/>
              <w:jc w:val="center"/>
              <w:rPr>
                <w:rFonts w:hint="default" w:ascii="Times New Roman" w:hAnsi="Times New Roman" w:eastAsia="宋体" w:cs="Times New Roman"/>
                <w:b w:val="0"/>
                <w:bCs w:val="0"/>
                <w:sz w:val="24"/>
                <w:lang w:val="en-US" w:eastAsia="zh-CN"/>
              </w:rPr>
            </w:pPr>
            <w:r>
              <w:rPr>
                <w:rFonts w:hint="eastAsia" w:ascii="Times New Roman" w:hAnsi="Times New Roman" w:cs="Times New Roman"/>
                <w:b w:val="0"/>
                <w:bCs w:val="0"/>
                <w:sz w:val="24"/>
                <w:szCs w:val="24"/>
                <w:lang w:val="en-US" w:eastAsia="zh-CN"/>
              </w:rPr>
              <w:t>18561921701</w:t>
            </w:r>
          </w:p>
        </w:tc>
        <w:tc>
          <w:tcPr>
            <w:tcW w:w="1186" w:type="dxa"/>
            <w:gridSpan w:val="2"/>
            <w:noWrap w:val="0"/>
            <w:vAlign w:val="center"/>
          </w:tcPr>
          <w:p>
            <w:pPr>
              <w:spacing w:line="360" w:lineRule="exact"/>
              <w:jc w:val="center"/>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传真</w:t>
            </w:r>
          </w:p>
        </w:tc>
        <w:tc>
          <w:tcPr>
            <w:tcW w:w="1483" w:type="dxa"/>
            <w:noWrap w:val="0"/>
            <w:vAlign w:val="center"/>
          </w:tcPr>
          <w:p>
            <w:pPr>
              <w:spacing w:line="360" w:lineRule="exact"/>
              <w:jc w:val="center"/>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w:t>
            </w:r>
          </w:p>
        </w:tc>
        <w:tc>
          <w:tcPr>
            <w:tcW w:w="1400" w:type="dxa"/>
            <w:noWrap w:val="0"/>
            <w:vAlign w:val="center"/>
          </w:tcPr>
          <w:p>
            <w:pPr>
              <w:spacing w:line="360" w:lineRule="exact"/>
              <w:jc w:val="center"/>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邮政编码</w:t>
            </w:r>
          </w:p>
        </w:tc>
        <w:tc>
          <w:tcPr>
            <w:tcW w:w="1465" w:type="dxa"/>
            <w:noWrap w:val="0"/>
            <w:vAlign w:val="center"/>
          </w:tcPr>
          <w:p>
            <w:pPr>
              <w:spacing w:line="360" w:lineRule="exact"/>
              <w:jc w:val="center"/>
              <w:rPr>
                <w:rFonts w:hint="default" w:ascii="Times New Roman" w:hAnsi="Times New Roman" w:eastAsia="宋体" w:cs="Times New Roman"/>
                <w:b w:val="0"/>
                <w:bCs w:val="0"/>
                <w:sz w:val="24"/>
                <w:szCs w:val="24"/>
                <w:lang w:val="en-US" w:eastAsia="zh-CN"/>
              </w:rPr>
            </w:pPr>
            <w:r>
              <w:rPr>
                <w:rFonts w:hint="default" w:ascii="Times New Roman" w:hAnsi="Times New Roman" w:cs="Times New Roman"/>
                <w:b w:val="0"/>
                <w:bCs w:val="0"/>
                <w:sz w:val="24"/>
                <w:szCs w:val="24"/>
              </w:rPr>
              <w:t>266400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2" w:hRule="atLeast"/>
        </w:trPr>
        <w:tc>
          <w:tcPr>
            <w:tcW w:w="1522" w:type="dxa"/>
            <w:noWrap w:val="0"/>
            <w:vAlign w:val="center"/>
          </w:tcPr>
          <w:p>
            <w:pPr>
              <w:spacing w:line="360" w:lineRule="exact"/>
              <w:jc w:val="center"/>
              <w:rPr>
                <w:rFonts w:hint="eastAsia" w:ascii="宋体" w:hAnsi="宋体" w:cs="宋体"/>
                <w:sz w:val="24"/>
                <w:szCs w:val="24"/>
              </w:rPr>
            </w:pPr>
            <w:r>
              <w:rPr>
                <w:rFonts w:hint="eastAsia" w:ascii="宋体" w:hAnsi="宋体" w:cs="宋体"/>
                <w:sz w:val="24"/>
                <w:szCs w:val="24"/>
              </w:rPr>
              <w:t>建设地点</w:t>
            </w:r>
          </w:p>
        </w:tc>
        <w:tc>
          <w:tcPr>
            <w:tcW w:w="7331" w:type="dxa"/>
            <w:gridSpan w:val="7"/>
            <w:noWrap w:val="0"/>
            <w:vAlign w:val="center"/>
          </w:tcPr>
          <w:p>
            <w:pPr>
              <w:spacing w:line="360" w:lineRule="exact"/>
              <w:jc w:val="center"/>
              <w:rPr>
                <w:rFonts w:hint="default" w:ascii="Times New Roman" w:hAnsi="Times New Roman" w:cs="Times New Roman"/>
                <w:b w:val="0"/>
                <w:bCs w:val="0"/>
                <w:sz w:val="24"/>
              </w:rPr>
            </w:pPr>
            <w:r>
              <w:rPr>
                <w:rFonts w:hint="eastAsia" w:ascii="Times New Roman" w:hAnsi="Times New Roman" w:cs="Times New Roman" w:eastAsiaTheme="minorEastAsia"/>
                <w:b w:val="0"/>
                <w:bCs/>
                <w:sz w:val="24"/>
                <w:szCs w:val="22"/>
                <w:lang w:eastAsia="zh-CN"/>
              </w:rPr>
              <w:t>青岛西海岸新区大珠山路东、隐珠山路北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522" w:type="dxa"/>
            <w:noWrap w:val="0"/>
            <w:vAlign w:val="center"/>
          </w:tcPr>
          <w:p>
            <w:pPr>
              <w:spacing w:line="360" w:lineRule="exact"/>
              <w:jc w:val="center"/>
              <w:rPr>
                <w:rFonts w:hint="eastAsia" w:ascii="宋体" w:hAnsi="宋体" w:cs="宋体"/>
                <w:sz w:val="24"/>
                <w:szCs w:val="24"/>
              </w:rPr>
            </w:pPr>
            <w:r>
              <w:rPr>
                <w:rFonts w:hint="eastAsia" w:ascii="宋体" w:hAnsi="宋体" w:cs="宋体"/>
                <w:sz w:val="24"/>
                <w:szCs w:val="24"/>
              </w:rPr>
              <w:t>立项审批</w:t>
            </w:r>
          </w:p>
          <w:p>
            <w:pPr>
              <w:spacing w:line="360" w:lineRule="exact"/>
              <w:jc w:val="center"/>
              <w:rPr>
                <w:rFonts w:hint="eastAsia" w:ascii="宋体" w:hAnsi="宋体" w:cs="宋体"/>
                <w:sz w:val="24"/>
                <w:szCs w:val="24"/>
              </w:rPr>
            </w:pPr>
            <w:r>
              <w:rPr>
                <w:rFonts w:hint="eastAsia" w:ascii="宋体" w:hAnsi="宋体" w:cs="宋体"/>
                <w:sz w:val="24"/>
                <w:szCs w:val="24"/>
              </w:rPr>
              <w:t>部门</w:t>
            </w:r>
          </w:p>
        </w:tc>
        <w:tc>
          <w:tcPr>
            <w:tcW w:w="2983" w:type="dxa"/>
            <w:gridSpan w:val="4"/>
            <w:noWrap w:val="0"/>
            <w:vAlign w:val="center"/>
          </w:tcPr>
          <w:p>
            <w:pPr>
              <w:spacing w:line="360" w:lineRule="exact"/>
              <w:jc w:val="center"/>
              <w:rPr>
                <w:rFonts w:hint="eastAsia"/>
                <w:sz w:val="24"/>
              </w:rPr>
            </w:pPr>
            <w:r>
              <w:rPr>
                <w:rFonts w:hint="eastAsia"/>
                <w:sz w:val="24"/>
              </w:rPr>
              <w:t>青岛西海岸新区行政审批</w:t>
            </w:r>
          </w:p>
          <w:p>
            <w:pPr>
              <w:spacing w:line="360" w:lineRule="exact"/>
              <w:jc w:val="center"/>
              <w:rPr>
                <w:rFonts w:hint="eastAsia"/>
                <w:sz w:val="24"/>
              </w:rPr>
            </w:pPr>
            <w:r>
              <w:rPr>
                <w:rFonts w:hint="eastAsia"/>
                <w:sz w:val="24"/>
              </w:rPr>
              <w:t>服务局</w:t>
            </w:r>
          </w:p>
        </w:tc>
        <w:tc>
          <w:tcPr>
            <w:tcW w:w="1483" w:type="dxa"/>
            <w:noWrap w:val="0"/>
            <w:vAlign w:val="center"/>
          </w:tcPr>
          <w:p>
            <w:pPr>
              <w:spacing w:line="360" w:lineRule="exact"/>
              <w:jc w:val="center"/>
              <w:rPr>
                <w:rFonts w:hint="eastAsia"/>
                <w:sz w:val="24"/>
              </w:rPr>
            </w:pPr>
            <w:r>
              <w:rPr>
                <w:rFonts w:hint="eastAsia"/>
                <w:sz w:val="24"/>
              </w:rPr>
              <w:t>批准文号</w:t>
            </w:r>
          </w:p>
        </w:tc>
        <w:tc>
          <w:tcPr>
            <w:tcW w:w="2865" w:type="dxa"/>
            <w:gridSpan w:val="2"/>
            <w:noWrap w:val="0"/>
            <w:vAlign w:val="center"/>
          </w:tcPr>
          <w:p>
            <w:pPr>
              <w:spacing w:line="360" w:lineRule="exact"/>
              <w:jc w:val="center"/>
              <w:rPr>
                <w:rFonts w:hint="eastAsia"/>
                <w:sz w:val="24"/>
              </w:rPr>
            </w:pPr>
            <w:r>
              <w:rPr>
                <w:rFonts w:hint="eastAsia"/>
                <w:sz w:val="24"/>
              </w:rPr>
              <w:t>2020-370211-14-03-000003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522" w:type="dxa"/>
            <w:noWrap w:val="0"/>
            <w:vAlign w:val="center"/>
          </w:tcPr>
          <w:p>
            <w:pPr>
              <w:spacing w:line="360" w:lineRule="exact"/>
              <w:jc w:val="center"/>
              <w:rPr>
                <w:rFonts w:hint="eastAsia" w:ascii="宋体" w:hAnsi="宋体" w:cs="宋体"/>
                <w:sz w:val="24"/>
                <w:szCs w:val="24"/>
              </w:rPr>
            </w:pPr>
            <w:r>
              <w:rPr>
                <w:rFonts w:hint="eastAsia" w:ascii="宋体" w:hAnsi="宋体" w:cs="宋体"/>
                <w:sz w:val="24"/>
                <w:szCs w:val="24"/>
              </w:rPr>
              <w:t>建设性质</w:t>
            </w:r>
          </w:p>
        </w:tc>
        <w:tc>
          <w:tcPr>
            <w:tcW w:w="2983" w:type="dxa"/>
            <w:gridSpan w:val="4"/>
            <w:noWrap w:val="0"/>
            <w:vAlign w:val="center"/>
          </w:tcPr>
          <w:p>
            <w:pPr>
              <w:spacing w:line="360" w:lineRule="exact"/>
              <w:jc w:val="center"/>
              <w:rPr>
                <w:rFonts w:hint="eastAsia"/>
                <w:sz w:val="24"/>
              </w:rPr>
            </w:pPr>
            <w:r>
              <w:rPr>
                <w:rFonts w:hint="eastAsia" w:ascii="宋体" w:hAnsi="宋体"/>
                <w:sz w:val="24"/>
                <w:szCs w:val="24"/>
              </w:rPr>
              <w:t>新建■改扩建</w:t>
            </w:r>
            <w:r>
              <w:rPr>
                <w:rFonts w:hint="eastAsia" w:ascii="宋体" w:hAnsi="宋体"/>
                <w:sz w:val="24"/>
                <w:szCs w:val="24"/>
              </w:rPr>
              <w:sym w:font="Wingdings 2" w:char="00A3"/>
            </w:r>
            <w:r>
              <w:rPr>
                <w:rFonts w:hint="eastAsia" w:ascii="宋体" w:hAnsi="宋体"/>
                <w:sz w:val="24"/>
                <w:szCs w:val="24"/>
              </w:rPr>
              <w:t>技改□</w:t>
            </w:r>
          </w:p>
        </w:tc>
        <w:tc>
          <w:tcPr>
            <w:tcW w:w="1483" w:type="dxa"/>
            <w:noWrap w:val="0"/>
            <w:vAlign w:val="center"/>
          </w:tcPr>
          <w:p>
            <w:pPr>
              <w:spacing w:line="360" w:lineRule="exact"/>
              <w:jc w:val="center"/>
              <w:rPr>
                <w:rFonts w:hint="eastAsia"/>
                <w:sz w:val="24"/>
              </w:rPr>
            </w:pPr>
            <w:r>
              <w:rPr>
                <w:rFonts w:hint="eastAsia"/>
                <w:sz w:val="24"/>
              </w:rPr>
              <w:t>行业类别</w:t>
            </w:r>
          </w:p>
          <w:p>
            <w:pPr>
              <w:spacing w:line="360" w:lineRule="exact"/>
              <w:jc w:val="center"/>
              <w:rPr>
                <w:rFonts w:hint="eastAsia"/>
                <w:sz w:val="24"/>
              </w:rPr>
            </w:pPr>
            <w:r>
              <w:rPr>
                <w:rFonts w:hint="eastAsia"/>
                <w:sz w:val="24"/>
              </w:rPr>
              <w:t>及代码</w:t>
            </w:r>
          </w:p>
        </w:tc>
        <w:tc>
          <w:tcPr>
            <w:tcW w:w="2865" w:type="dxa"/>
            <w:gridSpan w:val="2"/>
            <w:noWrap w:val="0"/>
            <w:vAlign w:val="center"/>
          </w:tcPr>
          <w:p>
            <w:pPr>
              <w:jc w:val="center"/>
              <w:rPr>
                <w:rFonts w:hint="default" w:eastAsia="宋体"/>
                <w:sz w:val="24"/>
                <w:lang w:val="en-US" w:eastAsia="zh-CN"/>
              </w:rPr>
            </w:pPr>
            <w:r>
              <w:rPr>
                <w:rFonts w:hint="eastAsia"/>
                <w:sz w:val="24"/>
                <w:lang w:val="en-US" w:eastAsia="zh-CN"/>
              </w:rPr>
              <w:t>[C1495食品及饲料添加剂制造]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522" w:type="dxa"/>
            <w:noWrap w:val="0"/>
            <w:vAlign w:val="center"/>
          </w:tcPr>
          <w:p>
            <w:pPr>
              <w:spacing w:line="360" w:lineRule="exact"/>
              <w:jc w:val="center"/>
              <w:rPr>
                <w:rFonts w:hint="eastAsia" w:ascii="宋体" w:hAnsi="宋体" w:cs="宋体"/>
                <w:sz w:val="24"/>
                <w:szCs w:val="24"/>
              </w:rPr>
            </w:pPr>
            <w:r>
              <w:rPr>
                <w:rFonts w:hint="eastAsia" w:ascii="宋体" w:hAnsi="宋体" w:cs="宋体"/>
                <w:sz w:val="24"/>
                <w:szCs w:val="24"/>
              </w:rPr>
              <w:t>建筑面积</w:t>
            </w:r>
          </w:p>
          <w:p>
            <w:pPr>
              <w:spacing w:line="360" w:lineRule="exact"/>
              <w:jc w:val="center"/>
              <w:rPr>
                <w:rFonts w:hint="eastAsia" w:ascii="宋体" w:hAnsi="宋体" w:cs="宋体"/>
                <w:sz w:val="24"/>
                <w:szCs w:val="24"/>
              </w:rPr>
            </w:pPr>
            <w:r>
              <w:rPr>
                <w:rFonts w:hint="eastAsia" w:ascii="宋体" w:hAnsi="宋体" w:cs="宋体"/>
                <w:sz w:val="24"/>
                <w:szCs w:val="24"/>
              </w:rPr>
              <w:t>(平方米)</w:t>
            </w:r>
          </w:p>
        </w:tc>
        <w:tc>
          <w:tcPr>
            <w:tcW w:w="2983" w:type="dxa"/>
            <w:gridSpan w:val="4"/>
            <w:noWrap w:val="0"/>
            <w:vAlign w:val="center"/>
          </w:tcPr>
          <w:p>
            <w:pPr>
              <w:spacing w:line="360" w:lineRule="exact"/>
              <w:jc w:val="center"/>
              <w:rPr>
                <w:rFonts w:hint="default" w:eastAsia="宋体"/>
                <w:sz w:val="24"/>
                <w:lang w:val="en-US" w:eastAsia="zh-CN"/>
              </w:rPr>
            </w:pPr>
            <w:r>
              <w:rPr>
                <w:rFonts w:hint="eastAsia"/>
                <w:sz w:val="24"/>
                <w:lang w:val="en-US" w:eastAsia="zh-CN"/>
              </w:rPr>
              <w:t>3941</w:t>
            </w:r>
          </w:p>
        </w:tc>
        <w:tc>
          <w:tcPr>
            <w:tcW w:w="1483" w:type="dxa"/>
            <w:noWrap w:val="0"/>
            <w:vAlign w:val="center"/>
          </w:tcPr>
          <w:p>
            <w:pPr>
              <w:spacing w:line="360" w:lineRule="exact"/>
              <w:jc w:val="center"/>
              <w:rPr>
                <w:rFonts w:hint="eastAsia"/>
                <w:sz w:val="24"/>
              </w:rPr>
            </w:pPr>
            <w:r>
              <w:rPr>
                <w:rFonts w:hint="eastAsia"/>
                <w:sz w:val="24"/>
              </w:rPr>
              <w:t>绿化面积</w:t>
            </w:r>
          </w:p>
          <w:p>
            <w:pPr>
              <w:spacing w:line="360" w:lineRule="exact"/>
              <w:jc w:val="center"/>
              <w:rPr>
                <w:rFonts w:hint="eastAsia"/>
                <w:sz w:val="24"/>
              </w:rPr>
            </w:pPr>
            <w:r>
              <w:rPr>
                <w:rFonts w:hint="eastAsia"/>
                <w:sz w:val="24"/>
              </w:rPr>
              <w:t>(平方米)</w:t>
            </w:r>
          </w:p>
        </w:tc>
        <w:tc>
          <w:tcPr>
            <w:tcW w:w="2865" w:type="dxa"/>
            <w:gridSpan w:val="2"/>
            <w:noWrap w:val="0"/>
            <w:vAlign w:val="center"/>
          </w:tcPr>
          <w:p>
            <w:pPr>
              <w:spacing w:line="360" w:lineRule="exact"/>
              <w:jc w:val="center"/>
              <w:rPr>
                <w:rFonts w:hint="default" w:eastAsia="宋体"/>
                <w:sz w:val="24"/>
                <w:lang w:val="en-US" w:eastAsia="zh-CN"/>
              </w:rPr>
            </w:pPr>
            <w:r>
              <w:rPr>
                <w:rFonts w:hint="eastAsia"/>
                <w:sz w:val="24"/>
                <w:lang w:val="en-US" w:eastAsia="zh-CN"/>
              </w:rPr>
              <w:t>473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91" w:hRule="atLeast"/>
        </w:trPr>
        <w:tc>
          <w:tcPr>
            <w:tcW w:w="1522" w:type="dxa"/>
            <w:noWrap w:val="0"/>
            <w:vAlign w:val="center"/>
          </w:tcPr>
          <w:p>
            <w:pPr>
              <w:spacing w:line="360" w:lineRule="exact"/>
              <w:jc w:val="center"/>
              <w:rPr>
                <w:rFonts w:hint="eastAsia" w:ascii="宋体" w:hAnsi="宋体" w:cs="宋体"/>
                <w:sz w:val="24"/>
                <w:szCs w:val="24"/>
              </w:rPr>
            </w:pPr>
            <w:r>
              <w:rPr>
                <w:rFonts w:hint="eastAsia" w:ascii="宋体" w:hAnsi="宋体" w:cs="宋体"/>
                <w:sz w:val="24"/>
                <w:szCs w:val="24"/>
              </w:rPr>
              <w:t>总投资</w:t>
            </w:r>
          </w:p>
          <w:p>
            <w:pPr>
              <w:spacing w:line="360" w:lineRule="exact"/>
              <w:jc w:val="center"/>
              <w:rPr>
                <w:rFonts w:hint="eastAsia" w:ascii="宋体" w:hAnsi="宋体" w:cs="宋体"/>
                <w:sz w:val="24"/>
                <w:szCs w:val="24"/>
              </w:rPr>
            </w:pPr>
            <w:r>
              <w:rPr>
                <w:rFonts w:hint="eastAsia" w:ascii="宋体" w:hAnsi="宋体" w:cs="宋体"/>
                <w:sz w:val="24"/>
                <w:szCs w:val="24"/>
              </w:rPr>
              <w:t>(元)</w:t>
            </w:r>
          </w:p>
        </w:tc>
        <w:tc>
          <w:tcPr>
            <w:tcW w:w="1370" w:type="dxa"/>
            <w:noWrap w:val="0"/>
            <w:vAlign w:val="center"/>
          </w:tcPr>
          <w:p>
            <w:pPr>
              <w:spacing w:line="360" w:lineRule="exact"/>
              <w:jc w:val="center"/>
              <w:rPr>
                <w:rFonts w:hint="default"/>
                <w:sz w:val="24"/>
                <w:lang w:val="en-US"/>
              </w:rPr>
            </w:pPr>
            <w:r>
              <w:rPr>
                <w:rFonts w:hint="eastAsia"/>
                <w:sz w:val="24"/>
                <w:lang w:val="en-US" w:eastAsia="zh-CN"/>
              </w:rPr>
              <w:t>796</w:t>
            </w:r>
          </w:p>
        </w:tc>
        <w:tc>
          <w:tcPr>
            <w:tcW w:w="1613" w:type="dxa"/>
            <w:gridSpan w:val="3"/>
            <w:noWrap w:val="0"/>
            <w:vAlign w:val="center"/>
          </w:tcPr>
          <w:p>
            <w:pPr>
              <w:spacing w:line="360" w:lineRule="exact"/>
              <w:jc w:val="center"/>
              <w:rPr>
                <w:rFonts w:hint="eastAsia"/>
                <w:sz w:val="24"/>
                <w:highlight w:val="none"/>
              </w:rPr>
            </w:pPr>
            <w:r>
              <w:rPr>
                <w:rFonts w:hint="eastAsia"/>
                <w:sz w:val="24"/>
                <w:highlight w:val="none"/>
              </w:rPr>
              <w:t>其中：环保投资（万元）</w:t>
            </w:r>
          </w:p>
        </w:tc>
        <w:tc>
          <w:tcPr>
            <w:tcW w:w="1483" w:type="dxa"/>
            <w:noWrap w:val="0"/>
            <w:vAlign w:val="center"/>
          </w:tcPr>
          <w:p>
            <w:pPr>
              <w:spacing w:line="360" w:lineRule="exact"/>
              <w:jc w:val="center"/>
              <w:rPr>
                <w:rFonts w:hint="default" w:eastAsia="宋体"/>
                <w:sz w:val="24"/>
                <w:highlight w:val="none"/>
                <w:lang w:val="en-US" w:eastAsia="zh-CN"/>
              </w:rPr>
            </w:pPr>
            <w:r>
              <w:rPr>
                <w:rFonts w:hint="eastAsia"/>
                <w:sz w:val="24"/>
                <w:highlight w:val="none"/>
                <w:lang w:val="en-US" w:eastAsia="zh-CN"/>
              </w:rPr>
              <w:t>20</w:t>
            </w:r>
          </w:p>
        </w:tc>
        <w:tc>
          <w:tcPr>
            <w:tcW w:w="1400" w:type="dxa"/>
            <w:noWrap w:val="0"/>
            <w:vAlign w:val="center"/>
          </w:tcPr>
          <w:p>
            <w:pPr>
              <w:spacing w:line="360" w:lineRule="exact"/>
              <w:jc w:val="center"/>
              <w:rPr>
                <w:rFonts w:hint="eastAsia"/>
                <w:sz w:val="24"/>
                <w:highlight w:val="none"/>
              </w:rPr>
            </w:pPr>
            <w:r>
              <w:rPr>
                <w:rFonts w:hint="eastAsia"/>
                <w:sz w:val="24"/>
                <w:highlight w:val="none"/>
              </w:rPr>
              <w:t>环保投资占总投资比例</w:t>
            </w:r>
          </w:p>
        </w:tc>
        <w:tc>
          <w:tcPr>
            <w:tcW w:w="1465" w:type="dxa"/>
            <w:noWrap w:val="0"/>
            <w:vAlign w:val="center"/>
          </w:tcPr>
          <w:p>
            <w:pPr>
              <w:spacing w:line="360" w:lineRule="exact"/>
              <w:jc w:val="center"/>
              <w:rPr>
                <w:rFonts w:hint="eastAsia" w:ascii="宋体" w:hAnsi="宋体" w:cs="宋体"/>
                <w:sz w:val="24"/>
                <w:szCs w:val="24"/>
                <w:highlight w:val="none"/>
              </w:rPr>
            </w:pPr>
            <w:r>
              <w:rPr>
                <w:rFonts w:hint="eastAsia"/>
                <w:sz w:val="24"/>
                <w:szCs w:val="22"/>
                <w:highlight w:val="none"/>
                <w:lang w:val="en-US" w:eastAsia="zh-CN"/>
              </w:rPr>
              <w:t>2.5%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0" w:hRule="atLeast"/>
        </w:trPr>
        <w:tc>
          <w:tcPr>
            <w:tcW w:w="1522" w:type="dxa"/>
            <w:noWrap w:val="0"/>
            <w:vAlign w:val="center"/>
          </w:tcPr>
          <w:p>
            <w:pPr>
              <w:spacing w:line="360" w:lineRule="exact"/>
              <w:jc w:val="center"/>
              <w:rPr>
                <w:rFonts w:hint="eastAsia" w:ascii="宋体" w:hAnsi="宋体" w:cs="宋体"/>
                <w:sz w:val="24"/>
                <w:szCs w:val="24"/>
              </w:rPr>
            </w:pPr>
            <w:r>
              <w:rPr>
                <w:rFonts w:hint="eastAsia" w:ascii="宋体" w:hAnsi="宋体" w:cs="宋体"/>
                <w:sz w:val="24"/>
                <w:szCs w:val="24"/>
              </w:rPr>
              <w:t>评价经费</w:t>
            </w:r>
          </w:p>
          <w:p>
            <w:pPr>
              <w:spacing w:line="360" w:lineRule="exact"/>
              <w:jc w:val="center"/>
              <w:rPr>
                <w:snapToGrid w:val="0"/>
                <w:spacing w:val="-8"/>
                <w:kern w:val="24"/>
                <w:szCs w:val="24"/>
              </w:rPr>
            </w:pPr>
            <w:r>
              <w:rPr>
                <w:rFonts w:hint="eastAsia" w:ascii="宋体" w:hAnsi="宋体" w:cs="宋体"/>
                <w:sz w:val="24"/>
                <w:szCs w:val="24"/>
              </w:rPr>
              <w:t>(万元)</w:t>
            </w:r>
          </w:p>
        </w:tc>
        <w:tc>
          <w:tcPr>
            <w:tcW w:w="1370" w:type="dxa"/>
            <w:noWrap w:val="0"/>
            <w:vAlign w:val="center"/>
          </w:tcPr>
          <w:p>
            <w:pPr>
              <w:spacing w:line="360" w:lineRule="exact"/>
              <w:jc w:val="center"/>
              <w:rPr>
                <w:sz w:val="24"/>
              </w:rPr>
            </w:pPr>
            <w:r>
              <w:rPr>
                <w:rFonts w:hint="eastAsia"/>
                <w:sz w:val="24"/>
              </w:rPr>
              <w:t>/</w:t>
            </w:r>
          </w:p>
        </w:tc>
        <w:tc>
          <w:tcPr>
            <w:tcW w:w="1613" w:type="dxa"/>
            <w:gridSpan w:val="3"/>
            <w:noWrap w:val="0"/>
            <w:vAlign w:val="center"/>
          </w:tcPr>
          <w:p>
            <w:pPr>
              <w:spacing w:line="360" w:lineRule="exact"/>
              <w:jc w:val="center"/>
              <w:rPr>
                <w:rFonts w:hint="eastAsia"/>
                <w:sz w:val="24"/>
                <w:highlight w:val="none"/>
              </w:rPr>
            </w:pPr>
            <w:r>
              <w:rPr>
                <w:rFonts w:hint="eastAsia" w:ascii="宋体" w:hAnsi="宋体"/>
                <w:sz w:val="24"/>
                <w:szCs w:val="24"/>
                <w:highlight w:val="none"/>
              </w:rPr>
              <w:t>预期</w:t>
            </w:r>
            <w:r>
              <w:rPr>
                <w:rFonts w:hint="eastAsia"/>
                <w:sz w:val="24"/>
                <w:highlight w:val="none"/>
              </w:rPr>
              <w:t>投产日期</w:t>
            </w:r>
          </w:p>
        </w:tc>
        <w:tc>
          <w:tcPr>
            <w:tcW w:w="4348" w:type="dxa"/>
            <w:gridSpan w:val="3"/>
            <w:noWrap w:val="0"/>
            <w:vAlign w:val="center"/>
          </w:tcPr>
          <w:p>
            <w:pPr>
              <w:spacing w:line="360" w:lineRule="exact"/>
              <w:jc w:val="center"/>
              <w:rPr>
                <w:rFonts w:hint="eastAsia"/>
                <w:sz w:val="24"/>
                <w:highlight w:val="none"/>
              </w:rPr>
            </w:pPr>
            <w:r>
              <w:rPr>
                <w:rFonts w:hint="eastAsia"/>
                <w:sz w:val="24"/>
                <w:highlight w:val="none"/>
              </w:rPr>
              <w:t>20</w:t>
            </w:r>
            <w:r>
              <w:rPr>
                <w:rFonts w:hint="eastAsia"/>
                <w:sz w:val="24"/>
                <w:highlight w:val="none"/>
                <w:lang w:val="en-US" w:eastAsia="zh-CN"/>
              </w:rPr>
              <w:t>20</w:t>
            </w:r>
            <w:r>
              <w:rPr>
                <w:rFonts w:hint="eastAsia"/>
                <w:sz w:val="24"/>
                <w:highlight w:val="none"/>
              </w:rPr>
              <w:t>年</w:t>
            </w:r>
            <w:r>
              <w:rPr>
                <w:rFonts w:hint="eastAsia"/>
                <w:sz w:val="24"/>
                <w:highlight w:val="none"/>
                <w:lang w:val="en-US" w:eastAsia="zh-CN"/>
              </w:rPr>
              <w:t>7</w:t>
            </w:r>
            <w:r>
              <w:rPr>
                <w:rFonts w:hint="eastAsia"/>
                <w:sz w:val="24"/>
                <w:highlight w:val="none"/>
              </w:rPr>
              <w:t>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8853" w:type="dxa"/>
            <w:gridSpan w:val="8"/>
            <w:noWrap w:val="0"/>
            <w:vAlign w:val="top"/>
          </w:tcPr>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b/>
                <w:bCs w:val="0"/>
                <w:sz w:val="24"/>
                <w:szCs w:val="24"/>
              </w:rPr>
            </w:pPr>
            <w:r>
              <w:rPr>
                <w:rFonts w:hint="eastAsia" w:asciiTheme="minorEastAsia" w:hAnsiTheme="minorEastAsia" w:eastAsiaTheme="minorEastAsia" w:cstheme="minorEastAsia"/>
                <w:b/>
                <w:bCs w:val="0"/>
                <w:sz w:val="24"/>
                <w:szCs w:val="24"/>
              </w:rPr>
              <w:t>工程内容及规模：</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cs="宋体"/>
                <w:b/>
                <w:sz w:val="24"/>
                <w:szCs w:val="24"/>
              </w:rPr>
            </w:pPr>
            <w:r>
              <w:rPr>
                <w:rFonts w:hint="eastAsia" w:ascii="宋体" w:hAnsi="宋体" w:cs="宋体"/>
                <w:b/>
                <w:sz w:val="24"/>
                <w:szCs w:val="24"/>
              </w:rPr>
              <w:t>一、</w:t>
            </w:r>
            <w:r>
              <w:rPr>
                <w:rFonts w:ascii="宋体" w:hAnsi="宋体"/>
                <w:b/>
                <w:sz w:val="24"/>
              </w:rPr>
              <w:t>项目概况及任务来源</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cs="Times New Roman"/>
                <w:sz w:val="24"/>
                <w:szCs w:val="24"/>
              </w:rPr>
            </w:pPr>
            <w:r>
              <w:rPr>
                <w:rFonts w:hint="default" w:ascii="Times New Roman" w:hAnsi="Times New Roman" w:cs="Times New Roman" w:eastAsiaTheme="minorEastAsia"/>
                <w:b w:val="0"/>
                <w:bCs/>
                <w:sz w:val="24"/>
                <w:lang w:eastAsia="zh-CN"/>
              </w:rPr>
              <w:t>青岛瑞翰天成生物科技有限公司</w:t>
            </w:r>
            <w:r>
              <w:rPr>
                <w:rFonts w:hint="eastAsia" w:cs="Times New Roman" w:eastAsiaTheme="minorEastAsia"/>
                <w:b w:val="0"/>
                <w:bCs/>
                <w:sz w:val="24"/>
                <w:lang w:val="en-US" w:eastAsia="zh-CN"/>
              </w:rPr>
              <w:t>成立于2018年5月24日，主要从事生物科技、化妆品、保健食品领域内的技术研发及食品添加剂、保健食品生产。该公司拟投资796万元，租赁</w:t>
            </w:r>
            <w:r>
              <w:rPr>
                <w:rFonts w:hint="default" w:ascii="Times New Roman" w:hAnsi="Times New Roman" w:cs="Times New Roman"/>
                <w:sz w:val="24"/>
                <w:szCs w:val="24"/>
              </w:rPr>
              <w:t>青岛奥立丰工业制品有限公司</w:t>
            </w:r>
            <w:r>
              <w:rPr>
                <w:rFonts w:hint="eastAsia" w:cs="Times New Roman"/>
                <w:sz w:val="24"/>
                <w:szCs w:val="24"/>
                <w:lang w:val="en-US" w:eastAsia="zh-CN"/>
              </w:rPr>
              <w:t>1层闲置</w:t>
            </w:r>
            <w:r>
              <w:rPr>
                <w:rFonts w:hint="default" w:ascii="Times New Roman" w:hAnsi="Times New Roman" w:cs="Times New Roman"/>
                <w:sz w:val="24"/>
                <w:szCs w:val="24"/>
              </w:rPr>
              <w:t>厂房，</w:t>
            </w:r>
            <w:r>
              <w:rPr>
                <w:rFonts w:hint="eastAsia" w:cs="Times New Roman"/>
                <w:sz w:val="24"/>
                <w:szCs w:val="24"/>
                <w:lang w:val="en-US" w:eastAsia="zh-CN"/>
              </w:rPr>
              <w:t>总占地</w:t>
            </w:r>
            <w:r>
              <w:rPr>
                <w:rFonts w:hint="default" w:ascii="Times New Roman" w:hAnsi="Times New Roman" w:cs="Times New Roman"/>
                <w:sz w:val="24"/>
                <w:szCs w:val="24"/>
              </w:rPr>
              <w:t>面积为3941</w:t>
            </w:r>
            <w:r>
              <w:rPr>
                <w:rFonts w:hint="eastAsia" w:cs="Times New Roman"/>
                <w:sz w:val="24"/>
                <w:szCs w:val="24"/>
                <w:lang w:val="en-US" w:eastAsia="zh-CN"/>
              </w:rPr>
              <w:t>m</w:t>
            </w:r>
            <w:r>
              <w:rPr>
                <w:rFonts w:hint="eastAsia" w:cs="Times New Roman"/>
                <w:sz w:val="24"/>
                <w:szCs w:val="24"/>
                <w:vertAlign w:val="superscript"/>
                <w:lang w:val="en-US" w:eastAsia="zh-CN"/>
              </w:rPr>
              <w:t>2</w:t>
            </w:r>
            <w:r>
              <w:rPr>
                <w:rFonts w:hint="default" w:ascii="Times New Roman" w:hAnsi="Times New Roman" w:cs="Times New Roman"/>
                <w:sz w:val="24"/>
                <w:szCs w:val="24"/>
              </w:rPr>
              <w:t>，</w:t>
            </w:r>
            <w:r>
              <w:rPr>
                <w:rFonts w:hint="eastAsia" w:cs="Times New Roman"/>
                <w:sz w:val="24"/>
                <w:szCs w:val="24"/>
                <w:lang w:val="en-US" w:eastAsia="zh-CN"/>
              </w:rPr>
              <w:t>总建筑面积为3153m</w:t>
            </w:r>
            <w:r>
              <w:rPr>
                <w:rFonts w:hint="eastAsia" w:cs="Times New Roman"/>
                <w:sz w:val="24"/>
                <w:szCs w:val="24"/>
                <w:vertAlign w:val="superscript"/>
                <w:lang w:val="en-US" w:eastAsia="zh-CN"/>
              </w:rPr>
              <w:t>2</w:t>
            </w:r>
            <w:r>
              <w:rPr>
                <w:rFonts w:hint="eastAsia" w:cs="Times New Roman"/>
                <w:sz w:val="24"/>
                <w:szCs w:val="24"/>
                <w:vertAlign w:val="baseline"/>
                <w:lang w:val="en-US" w:eastAsia="zh-CN"/>
              </w:rPr>
              <w:t>，</w:t>
            </w:r>
            <w:r>
              <w:rPr>
                <w:rFonts w:hint="default" w:ascii="Times New Roman" w:hAnsi="Times New Roman" w:cs="Times New Roman"/>
                <w:sz w:val="24"/>
                <w:szCs w:val="24"/>
              </w:rPr>
              <w:t>建设</w:t>
            </w:r>
            <w:r>
              <w:rPr>
                <w:rFonts w:hint="eastAsia" w:cs="Times New Roman"/>
                <w:sz w:val="24"/>
                <w:szCs w:val="24"/>
                <w:lang w:val="en-US" w:eastAsia="zh-CN"/>
              </w:rPr>
              <w:t>1条天然食品添加剂</w:t>
            </w:r>
            <w:r>
              <w:rPr>
                <w:rFonts w:hint="default" w:ascii="Times New Roman" w:hAnsi="Times New Roman" w:cs="Times New Roman"/>
                <w:sz w:val="24"/>
                <w:szCs w:val="24"/>
              </w:rPr>
              <w:t>生产线，建成后，达到年产12吨天然</w:t>
            </w:r>
            <w:r>
              <w:rPr>
                <w:rFonts w:hint="eastAsia" w:cs="Times New Roman"/>
                <w:sz w:val="24"/>
                <w:szCs w:val="24"/>
                <w:lang w:val="en-US" w:eastAsia="zh-CN"/>
              </w:rPr>
              <w:t>食品</w:t>
            </w:r>
            <w:r>
              <w:rPr>
                <w:rFonts w:hint="default" w:ascii="Times New Roman" w:hAnsi="Times New Roman" w:cs="Times New Roman"/>
                <w:sz w:val="24"/>
                <w:szCs w:val="24"/>
              </w:rPr>
              <w:t>添加剂</w:t>
            </w:r>
            <w:r>
              <w:rPr>
                <w:rFonts w:hint="eastAsia" w:cs="Times New Roman"/>
                <w:sz w:val="24"/>
                <w:szCs w:val="24"/>
                <w:lang w:val="en-US" w:eastAsia="zh-CN"/>
              </w:rPr>
              <w:t>的生产能力</w:t>
            </w:r>
            <w:r>
              <w:rPr>
                <w:rFonts w:hint="default" w:ascii="Times New Roman" w:hAnsi="Times New Roman" w:cs="Times New Roman"/>
                <w:sz w:val="24"/>
                <w:szCs w:val="24"/>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color w:val="auto"/>
                <w:sz w:val="24"/>
              </w:rPr>
            </w:pPr>
            <w:r>
              <w:rPr>
                <w:color w:val="auto"/>
                <w:sz w:val="24"/>
              </w:rPr>
              <w:t>根据《中华人民共和国环境影响评价法》和《建设项目环境保护管理条例》中的有关规定，项目在建设前，应进行环境影响评价。</w:t>
            </w:r>
            <w:r>
              <w:rPr>
                <w:rFonts w:hint="eastAsia"/>
                <w:color w:val="auto"/>
                <w:sz w:val="24"/>
                <w:lang w:val="en-US" w:eastAsia="zh-CN"/>
              </w:rPr>
              <w:t>查阅</w:t>
            </w:r>
            <w:r>
              <w:rPr>
                <w:color w:val="auto"/>
                <w:sz w:val="24"/>
              </w:rPr>
              <w:t>《建设项目环境影响评价分类管理名录》，该项目属于</w:t>
            </w:r>
            <w:r>
              <w:rPr>
                <w:rFonts w:hint="eastAsia" w:asciiTheme="minorEastAsia" w:hAnsiTheme="minorEastAsia" w:eastAsiaTheme="minorEastAsia" w:cstheme="minorEastAsia"/>
                <w:color w:val="auto"/>
                <w:sz w:val="24"/>
              </w:rPr>
              <w:t>“</w:t>
            </w:r>
            <w:r>
              <w:rPr>
                <w:rFonts w:hint="eastAsia" w:asciiTheme="minorEastAsia" w:hAnsiTheme="minorEastAsia" w:eastAsiaTheme="minorEastAsia" w:cstheme="minorEastAsia"/>
                <w:color w:val="auto"/>
                <w:sz w:val="24"/>
                <w:lang w:val="en-US" w:eastAsia="zh-CN"/>
              </w:rPr>
              <w:t>三、食品制造业”中</w:t>
            </w:r>
            <w:r>
              <w:rPr>
                <w:rFonts w:hint="eastAsia" w:eastAsiaTheme="minorEastAsia"/>
                <w:color w:val="auto"/>
                <w:sz w:val="24"/>
                <w:lang w:val="en-US" w:eastAsia="zh-CN"/>
              </w:rPr>
              <w:t>的“</w:t>
            </w:r>
            <w:r>
              <w:rPr>
                <w:rFonts w:hint="eastAsia"/>
                <w:color w:val="auto"/>
                <w:sz w:val="24"/>
                <w:lang w:val="en-US" w:eastAsia="zh-CN"/>
              </w:rPr>
              <w:t>15、</w:t>
            </w:r>
            <w:r>
              <w:rPr>
                <w:rFonts w:hint="eastAsia"/>
                <w:color w:val="auto"/>
                <w:sz w:val="24"/>
              </w:rPr>
              <w:t>饲料添加剂、食品添加剂制造</w:t>
            </w:r>
            <w:r>
              <w:rPr>
                <w:rFonts w:hint="eastAsia"/>
                <w:color w:val="auto"/>
                <w:sz w:val="24"/>
                <w:lang w:eastAsia="zh-CN"/>
              </w:rPr>
              <w:t>，</w:t>
            </w:r>
            <w:r>
              <w:rPr>
                <w:rFonts w:hint="eastAsia"/>
                <w:color w:val="auto"/>
                <w:sz w:val="24"/>
                <w:lang w:val="en-US" w:eastAsia="zh-CN"/>
              </w:rPr>
              <w:t>除单纯混合和分装的</w:t>
            </w:r>
            <w:r>
              <w:rPr>
                <w:rFonts w:hint="eastAsia" w:asciiTheme="minorEastAsia" w:hAnsiTheme="minorEastAsia" w:eastAsiaTheme="minorEastAsia" w:cstheme="minorEastAsia"/>
                <w:color w:val="auto"/>
                <w:sz w:val="24"/>
              </w:rPr>
              <w:t>”</w:t>
            </w:r>
            <w:r>
              <w:rPr>
                <w:color w:val="auto"/>
                <w:sz w:val="24"/>
              </w:rPr>
              <w:t>项目，需编制环境影响报告表。为此，</w:t>
            </w:r>
            <w:r>
              <w:rPr>
                <w:rFonts w:hint="default" w:ascii="Times New Roman" w:hAnsi="Times New Roman" w:cs="Times New Roman" w:eastAsiaTheme="minorEastAsia"/>
                <w:b w:val="0"/>
                <w:bCs/>
                <w:sz w:val="24"/>
                <w:lang w:eastAsia="zh-CN"/>
              </w:rPr>
              <w:t>青岛瑞翰天成生物科技有限公司</w:t>
            </w:r>
            <w:r>
              <w:rPr>
                <w:color w:val="auto"/>
                <w:sz w:val="24"/>
              </w:rPr>
              <w:t>委托我公司承担该项目的环境影响评价工作，我公司接受委托后，立即组织有关技术人员对工程场址其周围环境进行了详尽的实地勘查</w:t>
            </w:r>
            <w:r>
              <w:rPr>
                <w:rFonts w:hint="eastAsia"/>
                <w:color w:val="auto"/>
                <w:sz w:val="24"/>
                <w:lang w:eastAsia="zh-CN"/>
              </w:rPr>
              <w:t>，</w:t>
            </w:r>
            <w:r>
              <w:rPr>
                <w:rFonts w:hint="eastAsia"/>
                <w:color w:val="auto"/>
                <w:sz w:val="24"/>
                <w:lang w:val="en-US" w:eastAsia="zh-CN"/>
              </w:rPr>
              <w:t>并</w:t>
            </w:r>
            <w:r>
              <w:rPr>
                <w:color w:val="auto"/>
                <w:sz w:val="24"/>
              </w:rPr>
              <w:t>相关资料</w:t>
            </w:r>
            <w:r>
              <w:rPr>
                <w:rFonts w:hint="eastAsia"/>
                <w:color w:val="auto"/>
                <w:sz w:val="24"/>
                <w:lang w:val="en-US" w:eastAsia="zh-CN"/>
              </w:rPr>
              <w:t>进行</w:t>
            </w:r>
            <w:r>
              <w:rPr>
                <w:color w:val="auto"/>
                <w:sz w:val="24"/>
              </w:rPr>
              <w:t>核实与分析，在此基础上，编制了该项目环境影响报告表。</w:t>
            </w:r>
          </w:p>
          <w:p>
            <w:pPr>
              <w:adjustRightInd w:val="0"/>
              <w:snapToGrid w:val="0"/>
              <w:spacing w:line="360" w:lineRule="auto"/>
              <w:rPr>
                <w:b/>
                <w:bCs/>
                <w:color w:val="auto"/>
                <w:sz w:val="24"/>
              </w:rPr>
            </w:pPr>
            <w:r>
              <w:rPr>
                <w:rFonts w:hint="eastAsia"/>
                <w:b/>
                <w:bCs/>
                <w:color w:val="auto"/>
                <w:sz w:val="24"/>
                <w:lang w:val="en-US" w:eastAsia="zh-CN"/>
              </w:rPr>
              <w:t>二、</w:t>
            </w:r>
            <w:r>
              <w:rPr>
                <w:b/>
                <w:bCs/>
                <w:color w:val="auto"/>
                <w:sz w:val="24"/>
              </w:rPr>
              <w:t>编制依据</w:t>
            </w:r>
          </w:p>
          <w:p>
            <w:pPr>
              <w:adjustRightInd w:val="0"/>
              <w:snapToGrid w:val="0"/>
              <w:spacing w:line="360" w:lineRule="auto"/>
              <w:ind w:firstLine="480"/>
              <w:rPr>
                <w:color w:val="auto"/>
                <w:sz w:val="24"/>
              </w:rPr>
            </w:pPr>
            <w:r>
              <w:rPr>
                <w:color w:val="auto"/>
                <w:sz w:val="24"/>
              </w:rPr>
              <w:t>（1）《中华人民共和国环境保护法》（2015年1月1日起施行）；</w:t>
            </w:r>
          </w:p>
          <w:p>
            <w:pPr>
              <w:adjustRightInd w:val="0"/>
              <w:snapToGrid w:val="0"/>
              <w:spacing w:line="360" w:lineRule="auto"/>
              <w:ind w:firstLine="480"/>
              <w:rPr>
                <w:b/>
                <w:bCs/>
                <w:color w:val="auto"/>
                <w:sz w:val="24"/>
              </w:rPr>
            </w:pPr>
            <w:r>
              <w:rPr>
                <w:color w:val="auto"/>
                <w:sz w:val="24"/>
              </w:rPr>
              <w:t>（2）《中华人民共和国环境影响评价法》（2018年12月29日修订）；</w:t>
            </w:r>
          </w:p>
          <w:p>
            <w:pPr>
              <w:adjustRightInd w:val="0"/>
              <w:snapToGrid w:val="0"/>
              <w:spacing w:line="360" w:lineRule="auto"/>
              <w:ind w:firstLine="480"/>
              <w:rPr>
                <w:color w:val="auto"/>
                <w:sz w:val="24"/>
              </w:rPr>
            </w:pPr>
            <w:r>
              <w:rPr>
                <w:color w:val="auto"/>
                <w:sz w:val="24"/>
              </w:rPr>
              <w:t>（3）《中华人民共和国大气污染防治法》（2018年10月26日修订）；</w:t>
            </w:r>
          </w:p>
          <w:p>
            <w:pPr>
              <w:adjustRightInd w:val="0"/>
              <w:snapToGrid w:val="0"/>
              <w:spacing w:line="360" w:lineRule="auto"/>
              <w:ind w:firstLine="480"/>
              <w:rPr>
                <w:color w:val="auto"/>
                <w:sz w:val="24"/>
              </w:rPr>
            </w:pPr>
            <w:r>
              <w:rPr>
                <w:color w:val="auto"/>
                <w:sz w:val="24"/>
              </w:rPr>
              <w:t>（4）《中华人民共和国水污染防治法》（2018年1月1日起施行）；</w:t>
            </w:r>
          </w:p>
          <w:p>
            <w:pPr>
              <w:adjustRightInd w:val="0"/>
              <w:snapToGrid w:val="0"/>
              <w:spacing w:line="360" w:lineRule="auto"/>
              <w:ind w:firstLine="480"/>
              <w:rPr>
                <w:color w:val="auto"/>
                <w:sz w:val="24"/>
              </w:rPr>
            </w:pPr>
            <w:r>
              <w:rPr>
                <w:color w:val="auto"/>
                <w:sz w:val="24"/>
              </w:rPr>
              <w:t>（5）《中华人民共和国环境噪声污染防治法》（2019年1月11日起施行）；</w:t>
            </w:r>
          </w:p>
          <w:p>
            <w:pPr>
              <w:adjustRightInd w:val="0"/>
              <w:snapToGrid w:val="0"/>
              <w:spacing w:line="360" w:lineRule="auto"/>
              <w:ind w:firstLine="480" w:firstLineChars="200"/>
              <w:rPr>
                <w:color w:val="auto"/>
                <w:sz w:val="24"/>
              </w:rPr>
            </w:pPr>
            <w:r>
              <w:rPr>
                <w:color w:val="auto"/>
                <w:sz w:val="24"/>
              </w:rPr>
              <w:t>（6）《中华人民共和国固体废物污染环境防治法》（2016年11月7日修订）；</w:t>
            </w:r>
          </w:p>
          <w:p>
            <w:pPr>
              <w:adjustRightInd w:val="0"/>
              <w:snapToGrid w:val="0"/>
              <w:spacing w:line="360" w:lineRule="auto"/>
              <w:ind w:firstLine="480" w:firstLineChars="200"/>
              <w:rPr>
                <w:color w:val="auto"/>
                <w:sz w:val="24"/>
              </w:rPr>
            </w:pPr>
            <w:r>
              <w:rPr>
                <w:color w:val="auto"/>
                <w:sz w:val="24"/>
              </w:rPr>
              <w:t>（7）《建设项目环境保护管理条例》（2017年12月1日起施行）；</w:t>
            </w:r>
          </w:p>
          <w:p>
            <w:pPr>
              <w:adjustRightInd w:val="0"/>
              <w:snapToGrid w:val="0"/>
              <w:spacing w:line="360" w:lineRule="auto"/>
              <w:ind w:firstLine="480" w:firstLineChars="200"/>
              <w:rPr>
                <w:color w:val="auto"/>
                <w:sz w:val="24"/>
              </w:rPr>
            </w:pPr>
            <w:r>
              <w:rPr>
                <w:color w:val="auto"/>
                <w:sz w:val="24"/>
              </w:rPr>
              <w:t>（8）《建设项目环境影响评价分类管理名录》（环境保护部令部令第44号，生态环境部令1号）；</w:t>
            </w:r>
          </w:p>
          <w:p>
            <w:pPr>
              <w:adjustRightInd w:val="0"/>
              <w:snapToGrid w:val="0"/>
              <w:spacing w:line="360" w:lineRule="auto"/>
              <w:ind w:firstLine="480" w:firstLineChars="200"/>
              <w:rPr>
                <w:color w:val="auto"/>
                <w:sz w:val="24"/>
              </w:rPr>
            </w:pPr>
            <w:r>
              <w:rPr>
                <w:color w:val="auto"/>
                <w:sz w:val="24"/>
              </w:rPr>
              <w:t>（9）</w:t>
            </w:r>
            <w:r>
              <w:rPr>
                <w:color w:val="auto"/>
                <w:kern w:val="0"/>
                <w:sz w:val="24"/>
              </w:rPr>
              <w:t>《产业结构调整指导目录（201</w:t>
            </w:r>
            <w:r>
              <w:rPr>
                <w:rFonts w:hint="eastAsia"/>
                <w:color w:val="auto"/>
                <w:kern w:val="0"/>
                <w:sz w:val="24"/>
                <w:lang w:val="en-US" w:eastAsia="zh-CN"/>
              </w:rPr>
              <w:t>9</w:t>
            </w:r>
            <w:r>
              <w:rPr>
                <w:color w:val="auto"/>
                <w:kern w:val="0"/>
                <w:sz w:val="24"/>
              </w:rPr>
              <w:t>年本）》；</w:t>
            </w:r>
          </w:p>
          <w:p>
            <w:pPr>
              <w:widowControl/>
              <w:adjustRightInd w:val="0"/>
              <w:snapToGrid w:val="0"/>
              <w:spacing w:line="360" w:lineRule="auto"/>
              <w:ind w:firstLine="480" w:firstLineChars="200"/>
              <w:rPr>
                <w:color w:val="auto"/>
                <w:kern w:val="0"/>
                <w:sz w:val="24"/>
              </w:rPr>
            </w:pPr>
            <w:r>
              <w:rPr>
                <w:color w:val="auto"/>
                <w:kern w:val="0"/>
                <w:sz w:val="24"/>
              </w:rPr>
              <w:t>（10）</w:t>
            </w:r>
            <w:r>
              <w:rPr>
                <w:color w:val="auto"/>
                <w:sz w:val="24"/>
              </w:rPr>
              <w:t>《山东省环境保护条例》（2019年1月1日起施行）；</w:t>
            </w:r>
          </w:p>
          <w:p>
            <w:pPr>
              <w:adjustRightInd w:val="0"/>
              <w:snapToGrid w:val="0"/>
              <w:spacing w:line="360" w:lineRule="auto"/>
              <w:ind w:firstLine="480" w:firstLineChars="200"/>
              <w:rPr>
                <w:color w:val="auto"/>
                <w:sz w:val="24"/>
              </w:rPr>
            </w:pPr>
            <w:r>
              <w:rPr>
                <w:color w:val="auto"/>
                <w:sz w:val="24"/>
              </w:rPr>
              <w:t>（11）《山东省大气污染防治条例》（2018年12月1日施行）；</w:t>
            </w:r>
          </w:p>
          <w:p>
            <w:pPr>
              <w:adjustRightInd w:val="0"/>
              <w:snapToGrid w:val="0"/>
              <w:spacing w:line="360" w:lineRule="auto"/>
              <w:ind w:firstLine="480" w:firstLineChars="200"/>
              <w:rPr>
                <w:color w:val="auto"/>
                <w:sz w:val="24"/>
              </w:rPr>
            </w:pPr>
            <w:r>
              <w:rPr>
                <w:color w:val="auto"/>
                <w:sz w:val="24"/>
              </w:rPr>
              <w:t>（12）《青岛西海岸新区总体规划》（2018-2035年）；</w:t>
            </w:r>
          </w:p>
          <w:p>
            <w:pPr>
              <w:adjustRightInd w:val="0"/>
              <w:snapToGrid w:val="0"/>
              <w:spacing w:line="360" w:lineRule="auto"/>
              <w:ind w:firstLine="480" w:firstLineChars="200"/>
              <w:rPr>
                <w:rFonts w:ascii="Times New Roman" w:hAnsi="Times New Roman"/>
                <w:color w:val="auto"/>
                <w:sz w:val="24"/>
                <w:lang w:val="en-US" w:eastAsia="zh-CN"/>
              </w:rPr>
            </w:pPr>
            <w:r>
              <w:rPr>
                <w:color w:val="auto"/>
                <w:sz w:val="24"/>
              </w:rPr>
              <w:t>（13）</w:t>
            </w:r>
            <w:r>
              <w:rPr>
                <w:rFonts w:hint="eastAsia"/>
                <w:color w:val="auto"/>
                <w:sz w:val="24"/>
                <w:szCs w:val="22"/>
              </w:rPr>
              <w:t>《青岛西海岸新区水功能区划》（青岛西海岸新区管委办公室2018年2月14号文件）</w:t>
            </w:r>
            <w:r>
              <w:rPr>
                <w:rFonts w:ascii="Times New Roman" w:hAnsi="Times New Roman"/>
                <w:color w:val="auto"/>
                <w:sz w:val="24"/>
                <w:lang w:val="en-US" w:eastAsia="zh-CN"/>
              </w:rPr>
              <w:t>。</w:t>
            </w:r>
          </w:p>
          <w:p>
            <w:pPr>
              <w:pStyle w:val="2"/>
              <w:snapToGrid w:val="0"/>
              <w:spacing w:after="0" w:line="360" w:lineRule="auto"/>
              <w:ind w:left="0" w:leftChars="0" w:firstLine="0" w:firstLineChars="0"/>
              <w:rPr>
                <w:rFonts w:ascii="Times New Roman" w:hAnsi="Times New Roman"/>
                <w:b/>
                <w:bCs/>
                <w:color w:val="auto"/>
                <w:sz w:val="24"/>
                <w:lang w:val="en-US" w:eastAsia="zh-CN"/>
              </w:rPr>
            </w:pPr>
            <w:r>
              <w:rPr>
                <w:rFonts w:hint="eastAsia" w:ascii="Times New Roman" w:hAnsi="Times New Roman"/>
                <w:b/>
                <w:bCs/>
                <w:color w:val="auto"/>
                <w:sz w:val="24"/>
                <w:lang w:val="en-US" w:eastAsia="zh-CN"/>
              </w:rPr>
              <w:t>三、</w:t>
            </w:r>
            <w:r>
              <w:rPr>
                <w:rFonts w:ascii="Times New Roman" w:hAnsi="Times New Roman"/>
                <w:b/>
                <w:bCs/>
                <w:color w:val="auto"/>
                <w:sz w:val="24"/>
                <w:lang w:val="en-US" w:eastAsia="zh-CN"/>
              </w:rPr>
              <w:t>项目地理位置及周围环境状况</w:t>
            </w:r>
          </w:p>
          <w:p>
            <w:pPr>
              <w:pStyle w:val="2"/>
              <w:keepNext w:val="0"/>
              <w:keepLines w:val="0"/>
              <w:pageBreakBefore w:val="0"/>
              <w:widowControl w:val="0"/>
              <w:kinsoku/>
              <w:wordWrap/>
              <w:overflowPunct/>
              <w:topLinePunct w:val="0"/>
              <w:autoSpaceDE/>
              <w:autoSpaceDN/>
              <w:bidi w:val="0"/>
              <w:adjustRightInd w:val="0"/>
              <w:snapToGrid w:val="0"/>
              <w:spacing w:after="0" w:afterLines="0" w:line="360" w:lineRule="auto"/>
              <w:ind w:left="0" w:leftChars="0" w:firstLine="480" w:firstLineChars="200"/>
              <w:textAlignment w:val="baseline"/>
              <w:rPr>
                <w:rFonts w:hint="eastAsia" w:ascii="Times New Roman" w:hAnsi="Times New Roman" w:cs="Times New Roman" w:eastAsiaTheme="minorEastAsia"/>
                <w:b w:val="0"/>
                <w:bCs/>
                <w:sz w:val="24"/>
                <w:szCs w:val="22"/>
                <w:lang w:val="en-US" w:eastAsia="zh-CN"/>
              </w:rPr>
            </w:pPr>
            <w:r>
              <w:rPr>
                <w:rFonts w:ascii="Times New Roman" w:hAnsi="Times New Roman"/>
                <w:color w:val="auto"/>
                <w:sz w:val="24"/>
                <w:lang w:val="en-US" w:eastAsia="zh-CN"/>
              </w:rPr>
              <w:t>项目位于</w:t>
            </w:r>
            <w:r>
              <w:rPr>
                <w:rFonts w:hint="eastAsia" w:ascii="Times New Roman" w:hAnsi="Times New Roman" w:cs="Times New Roman" w:eastAsiaTheme="minorEastAsia"/>
                <w:b w:val="0"/>
                <w:bCs/>
                <w:sz w:val="24"/>
                <w:szCs w:val="22"/>
                <w:lang w:eastAsia="zh-CN"/>
              </w:rPr>
              <w:t>青岛西海岸新区大珠山路东、隐珠山路北</w:t>
            </w:r>
            <w:r>
              <w:rPr>
                <w:rFonts w:ascii="Times New Roman" w:hAnsi="Times New Roman"/>
                <w:color w:val="auto"/>
                <w:sz w:val="24"/>
                <w:lang w:val="en-US" w:eastAsia="zh-CN"/>
              </w:rPr>
              <w:t>，项目地理位置见</w:t>
            </w:r>
            <w:r>
              <w:rPr>
                <w:rFonts w:ascii="Times New Roman" w:hAnsi="Times New Roman"/>
                <w:b/>
                <w:bCs/>
                <w:color w:val="auto"/>
                <w:sz w:val="24"/>
                <w:lang w:val="en-US" w:eastAsia="zh-CN"/>
              </w:rPr>
              <w:t>附图1</w:t>
            </w:r>
            <w:r>
              <w:rPr>
                <w:rFonts w:ascii="Times New Roman" w:hAnsi="Times New Roman"/>
                <w:color w:val="auto"/>
                <w:sz w:val="24"/>
                <w:lang w:val="en-US" w:eastAsia="zh-CN"/>
              </w:rPr>
              <w:t>。项目</w:t>
            </w:r>
            <w:r>
              <w:rPr>
                <w:rFonts w:hint="eastAsia"/>
                <w:color w:val="auto"/>
                <w:sz w:val="24"/>
                <w:lang w:val="en-US" w:eastAsia="zh-CN"/>
              </w:rPr>
              <w:t>所在厂区南临隐珠山路，北侧为青岛千禧祥龙实业有限公司，</w:t>
            </w:r>
            <w:r>
              <w:rPr>
                <w:rFonts w:hint="eastAsia" w:ascii="Times New Roman" w:hAnsi="Times New Roman" w:cs="Times New Roman" w:eastAsiaTheme="minorEastAsia"/>
                <w:b w:val="0"/>
                <w:bCs/>
                <w:sz w:val="24"/>
                <w:szCs w:val="22"/>
                <w:lang w:val="en-US" w:eastAsia="zh-CN"/>
              </w:rPr>
              <w:t>东侧为</w:t>
            </w:r>
            <w:r>
              <w:rPr>
                <w:rFonts w:hint="eastAsia" w:ascii="Times New Roman" w:hAnsi="Times New Roman" w:cs="Times New Roman" w:eastAsiaTheme="minorEastAsia"/>
                <w:b w:val="0"/>
                <w:bCs/>
                <w:sz w:val="24"/>
                <w:szCs w:val="22"/>
                <w:lang w:eastAsia="zh-CN"/>
              </w:rPr>
              <w:t>青岛开拓</w:t>
            </w:r>
            <w:r>
              <w:rPr>
                <w:rFonts w:hint="eastAsia" w:cs="Times New Roman" w:eastAsiaTheme="minorEastAsia"/>
                <w:b w:val="0"/>
                <w:bCs/>
                <w:sz w:val="24"/>
                <w:szCs w:val="22"/>
                <w:lang w:val="en-US" w:eastAsia="zh-CN"/>
              </w:rPr>
              <w:t>数控设备有限公司</w:t>
            </w:r>
            <w:r>
              <w:rPr>
                <w:rFonts w:hint="eastAsia" w:ascii="Times New Roman" w:hAnsi="Times New Roman" w:cs="Times New Roman" w:eastAsiaTheme="minorEastAsia"/>
                <w:b w:val="0"/>
                <w:bCs/>
                <w:sz w:val="24"/>
                <w:szCs w:val="22"/>
                <w:lang w:val="en-US" w:eastAsia="zh-CN"/>
              </w:rPr>
              <w:t>，西侧为</w:t>
            </w:r>
            <w:r>
              <w:rPr>
                <w:rFonts w:hint="eastAsia"/>
                <w:color w:val="auto"/>
                <w:sz w:val="24"/>
                <w:szCs w:val="22"/>
                <w:lang w:val="en-US" w:eastAsia="zh-CN"/>
              </w:rPr>
              <w:t>青岛禧龙泽电器有限公司，</w:t>
            </w:r>
            <w:r>
              <w:rPr>
                <w:rFonts w:hint="eastAsia" w:ascii="Times New Roman" w:hAnsi="Times New Roman" w:cs="Times New Roman" w:eastAsiaTheme="minorEastAsia"/>
                <w:b w:val="0"/>
                <w:bCs/>
                <w:sz w:val="24"/>
                <w:szCs w:val="22"/>
                <w:lang w:val="en-US" w:eastAsia="zh-CN"/>
              </w:rPr>
              <w:t>项目四邻关系见</w:t>
            </w:r>
            <w:r>
              <w:rPr>
                <w:rFonts w:hint="eastAsia" w:ascii="Times New Roman" w:hAnsi="Times New Roman" w:cs="Times New Roman" w:eastAsiaTheme="minorEastAsia"/>
                <w:b/>
                <w:bCs w:val="0"/>
                <w:sz w:val="24"/>
                <w:szCs w:val="22"/>
                <w:lang w:val="en-US" w:eastAsia="zh-CN"/>
              </w:rPr>
              <w:t>附图2</w:t>
            </w:r>
            <w:r>
              <w:rPr>
                <w:rFonts w:hint="eastAsia" w:ascii="Times New Roman" w:hAnsi="Times New Roman" w:cs="Times New Roman" w:eastAsiaTheme="minorEastAsia"/>
                <w:b w:val="0"/>
                <w:bCs/>
                <w:sz w:val="24"/>
                <w:szCs w:val="22"/>
                <w:lang w:val="en-US" w:eastAsia="zh-CN"/>
              </w:rPr>
              <w:t>。</w:t>
            </w:r>
          </w:p>
          <w:p>
            <w:pPr>
              <w:pStyle w:val="2"/>
              <w:keepNext w:val="0"/>
              <w:keepLines w:val="0"/>
              <w:pageBreakBefore w:val="0"/>
              <w:widowControl w:val="0"/>
              <w:kinsoku/>
              <w:wordWrap/>
              <w:overflowPunct/>
              <w:topLinePunct w:val="0"/>
              <w:autoSpaceDE/>
              <w:autoSpaceDN/>
              <w:bidi w:val="0"/>
              <w:adjustRightInd w:val="0"/>
              <w:snapToGrid w:val="0"/>
              <w:spacing w:after="0" w:afterLines="0" w:line="360" w:lineRule="auto"/>
              <w:ind w:left="0" w:leftChars="0" w:firstLine="480" w:firstLineChars="200"/>
              <w:textAlignment w:val="baseline"/>
              <w:rPr>
                <w:rFonts w:hint="default" w:ascii="Times New Roman" w:hAnsi="Times New Roman" w:eastAsia="宋体"/>
                <w:color w:val="auto"/>
                <w:sz w:val="24"/>
                <w:lang w:val="en-US" w:eastAsia="zh-CN"/>
              </w:rPr>
            </w:pPr>
            <w:r>
              <w:rPr>
                <w:rFonts w:ascii="Times New Roman" w:hAnsi="Times New Roman"/>
                <w:color w:val="auto"/>
                <w:sz w:val="24"/>
                <w:lang w:val="en-US" w:eastAsia="zh-CN"/>
              </w:rPr>
              <w:t>项目最近的敏感目标为</w:t>
            </w:r>
            <w:r>
              <w:rPr>
                <w:rFonts w:hint="eastAsia" w:ascii="Times New Roman" w:hAnsi="Times New Roman"/>
                <w:color w:val="auto"/>
                <w:sz w:val="24"/>
                <w:lang w:val="en-US" w:eastAsia="zh-CN"/>
              </w:rPr>
              <w:t>东南</w:t>
            </w:r>
            <w:r>
              <w:rPr>
                <w:rFonts w:ascii="Times New Roman" w:hAnsi="Times New Roman"/>
                <w:color w:val="auto"/>
                <w:sz w:val="24"/>
                <w:lang w:val="en-US" w:eastAsia="zh-CN"/>
              </w:rPr>
              <w:t>向</w:t>
            </w:r>
            <w:r>
              <w:rPr>
                <w:rFonts w:hint="eastAsia" w:ascii="Times New Roman" w:hAnsi="Times New Roman"/>
                <w:color w:val="auto"/>
                <w:sz w:val="24"/>
                <w:lang w:val="en-US" w:eastAsia="zh-CN"/>
              </w:rPr>
              <w:t>840</w:t>
            </w:r>
            <w:r>
              <w:rPr>
                <w:rFonts w:ascii="Times New Roman" w:hAnsi="Times New Roman"/>
                <w:color w:val="auto"/>
                <w:sz w:val="24"/>
                <w:lang w:val="en-US" w:eastAsia="zh-CN"/>
              </w:rPr>
              <w:t>m处的</w:t>
            </w:r>
            <w:r>
              <w:rPr>
                <w:rFonts w:hint="eastAsia" w:ascii="Times New Roman" w:hAnsi="Times New Roman"/>
                <w:color w:val="auto"/>
                <w:sz w:val="24"/>
                <w:lang w:val="en-US" w:eastAsia="zh-CN"/>
              </w:rPr>
              <w:t>天一畔成小区，东</w:t>
            </w:r>
            <w:r>
              <w:rPr>
                <w:rFonts w:hint="eastAsia"/>
                <w:color w:val="auto"/>
                <w:sz w:val="24"/>
                <w:lang w:val="en-US" w:eastAsia="zh-CN"/>
              </w:rPr>
              <w:t>向850m处的象沟头村，西南侧960m处的东新村，1km处的尹家大庄村，东侧780m处的大卢河，</w:t>
            </w:r>
            <w:r>
              <w:rPr>
                <w:rFonts w:ascii="Times New Roman" w:hAnsi="Times New Roman"/>
                <w:color w:val="auto"/>
                <w:sz w:val="24"/>
                <w:lang w:val="en-US" w:eastAsia="zh-CN"/>
              </w:rPr>
              <w:t>近距离敏感目标分布情况见</w:t>
            </w:r>
            <w:r>
              <w:rPr>
                <w:rFonts w:ascii="Times New Roman" w:hAnsi="Times New Roman"/>
                <w:b/>
                <w:bCs/>
                <w:color w:val="auto"/>
                <w:sz w:val="24"/>
                <w:lang w:val="en-US" w:eastAsia="zh-CN"/>
              </w:rPr>
              <w:t>附图3</w:t>
            </w:r>
            <w:r>
              <w:rPr>
                <w:rFonts w:ascii="Times New Roman" w:hAnsi="Times New Roman"/>
                <w:color w:val="auto"/>
                <w:sz w:val="24"/>
                <w:lang w:val="en-US" w:eastAsia="zh-CN"/>
              </w:rPr>
              <w:t>。</w:t>
            </w:r>
            <w:r>
              <w:rPr>
                <w:rFonts w:hint="eastAsia"/>
                <w:color w:val="auto"/>
                <w:sz w:val="24"/>
                <w:lang w:val="en-US" w:eastAsia="zh-CN"/>
              </w:rPr>
              <w:t>根据</w:t>
            </w:r>
            <w:r>
              <w:rPr>
                <w:rFonts w:hint="eastAsia"/>
                <w:color w:val="auto"/>
                <w:sz w:val="24"/>
                <w:szCs w:val="22"/>
              </w:rPr>
              <w:t>《青岛西海岸新区水功能区划》</w:t>
            </w:r>
            <w:r>
              <w:rPr>
                <w:rFonts w:hint="eastAsia"/>
                <w:color w:val="auto"/>
                <w:sz w:val="24"/>
                <w:szCs w:val="22"/>
                <w:lang w:eastAsia="zh-CN"/>
              </w:rPr>
              <w:t>，</w:t>
            </w:r>
            <w:r>
              <w:rPr>
                <w:rFonts w:hint="eastAsia"/>
                <w:color w:val="auto"/>
                <w:sz w:val="24"/>
                <w:szCs w:val="22"/>
              </w:rPr>
              <w:t>大卢河水体功能为景观娱乐用水</w:t>
            </w:r>
            <w:r>
              <w:rPr>
                <w:rFonts w:hint="eastAsia"/>
                <w:color w:val="auto"/>
                <w:sz w:val="24"/>
                <w:szCs w:val="22"/>
                <w:lang w:eastAsia="zh-CN"/>
              </w:rPr>
              <w:t>，</w:t>
            </w:r>
            <w:r>
              <w:rPr>
                <w:rFonts w:hint="eastAsia"/>
                <w:color w:val="auto"/>
                <w:sz w:val="24"/>
                <w:szCs w:val="22"/>
                <w:lang w:val="en-US" w:eastAsia="zh-CN"/>
              </w:rPr>
              <w:t>项目周边不涉及饮用水水源地保护区。</w:t>
            </w:r>
          </w:p>
          <w:p>
            <w:pPr>
              <w:keepNext w:val="0"/>
              <w:keepLines w:val="0"/>
              <w:pageBreakBefore w:val="0"/>
              <w:kinsoku/>
              <w:wordWrap/>
              <w:overflowPunct/>
              <w:topLinePunct w:val="0"/>
              <w:autoSpaceDE/>
              <w:autoSpaceDN/>
              <w:bidi w:val="0"/>
              <w:adjustRightInd w:val="0"/>
              <w:snapToGrid w:val="0"/>
              <w:spacing w:line="360" w:lineRule="auto"/>
              <w:ind w:left="0" w:leftChars="0"/>
              <w:rPr>
                <w:b/>
                <w:bCs/>
                <w:color w:val="auto"/>
                <w:sz w:val="24"/>
              </w:rPr>
            </w:pPr>
            <w:r>
              <w:rPr>
                <w:rFonts w:hint="eastAsia"/>
                <w:b/>
                <w:bCs/>
                <w:color w:val="auto"/>
                <w:sz w:val="24"/>
                <w:lang w:val="en-US" w:eastAsia="zh-CN"/>
              </w:rPr>
              <w:t>四、</w:t>
            </w:r>
            <w:r>
              <w:rPr>
                <w:b/>
                <w:bCs/>
                <w:color w:val="auto"/>
                <w:sz w:val="24"/>
              </w:rPr>
              <w:t>政策符合性及选址合理性分析</w:t>
            </w:r>
          </w:p>
          <w:p>
            <w:pPr>
              <w:pStyle w:val="3"/>
              <w:keepNext w:val="0"/>
              <w:keepLines w:val="0"/>
              <w:pageBreakBefore w:val="0"/>
              <w:kinsoku/>
              <w:wordWrap/>
              <w:overflowPunct/>
              <w:topLinePunct w:val="0"/>
              <w:autoSpaceDE/>
              <w:autoSpaceDN/>
              <w:bidi w:val="0"/>
              <w:adjustRightInd w:val="0"/>
              <w:snapToGrid w:val="0"/>
              <w:spacing w:after="0" w:afterLines="0" w:line="360" w:lineRule="auto"/>
              <w:ind w:left="0" w:leftChars="0" w:firstLine="480" w:firstLineChars="200"/>
              <w:jc w:val="both"/>
              <w:rPr>
                <w:rFonts w:ascii="Times New Roman" w:hAnsi="Times New Roman"/>
                <w:color w:val="auto"/>
                <w:sz w:val="24"/>
                <w:szCs w:val="24"/>
                <w:lang w:val="en-US" w:eastAsia="zh-CN"/>
              </w:rPr>
            </w:pPr>
            <w:r>
              <w:rPr>
                <w:rFonts w:ascii="Times New Roman" w:hAnsi="Times New Roman"/>
                <w:color w:val="auto"/>
                <w:sz w:val="24"/>
                <w:szCs w:val="24"/>
                <w:lang w:val="en-US" w:eastAsia="zh-CN"/>
              </w:rPr>
              <w:t>（1）产业政策符合性</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ascii="Times New Roman" w:hAnsi="Times New Roman"/>
                <w:color w:val="auto"/>
                <w:sz w:val="24"/>
                <w:szCs w:val="24"/>
                <w:highlight w:val="none"/>
                <w:lang w:val="en-US" w:eastAsia="zh-CN"/>
              </w:rPr>
            </w:pPr>
            <w:r>
              <w:rPr>
                <w:rFonts w:hint="eastAsia" w:ascii="Times New Roman" w:hAnsi="Times New Roman" w:eastAsia="宋体" w:cs="Times New Roman"/>
                <w:color w:val="auto"/>
                <w:kern w:val="2"/>
                <w:sz w:val="24"/>
                <w:szCs w:val="22"/>
                <w:lang w:val="en-US" w:eastAsia="zh-CN" w:bidi="ar-SA"/>
              </w:rPr>
              <w:t>该项目生产的食品添加剂为从新鲜植物提取出，</w:t>
            </w:r>
            <w:r>
              <w:rPr>
                <w:rFonts w:hint="eastAsia" w:cs="Times New Roman"/>
                <w:color w:val="auto"/>
                <w:kern w:val="2"/>
                <w:sz w:val="24"/>
                <w:szCs w:val="22"/>
                <w:lang w:val="en-US" w:eastAsia="zh-CN" w:bidi="ar-SA"/>
              </w:rPr>
              <w:t>其</w:t>
            </w:r>
            <w:r>
              <w:rPr>
                <w:rFonts w:hint="eastAsia" w:ascii="Times New Roman" w:hAnsi="Times New Roman" w:eastAsia="宋体" w:cs="Times New Roman"/>
                <w:color w:val="auto"/>
                <w:kern w:val="2"/>
                <w:sz w:val="24"/>
                <w:szCs w:val="22"/>
                <w:lang w:val="en-US" w:eastAsia="zh-CN" w:bidi="ar-SA"/>
              </w:rPr>
              <w:t>行业类别为</w:t>
            </w:r>
            <w:r>
              <w:rPr>
                <w:rFonts w:hint="default" w:ascii="Times New Roman" w:hAnsi="Times New Roman" w:eastAsia="宋体" w:cs="Times New Roman"/>
                <w:color w:val="auto"/>
                <w:kern w:val="2"/>
                <w:sz w:val="24"/>
                <w:szCs w:val="22"/>
                <w:lang w:val="en-US" w:eastAsia="zh-CN" w:bidi="ar-SA"/>
              </w:rPr>
              <w:t>[C1495</w:t>
            </w:r>
            <w:r>
              <w:rPr>
                <w:rFonts w:hint="eastAsia" w:ascii="Times New Roman" w:hAnsi="Times New Roman" w:eastAsia="宋体" w:cs="Times New Roman"/>
                <w:color w:val="auto"/>
                <w:kern w:val="2"/>
                <w:sz w:val="24"/>
                <w:szCs w:val="22"/>
                <w:lang w:val="en-US" w:eastAsia="zh-CN" w:bidi="ar-SA"/>
              </w:rPr>
              <w:t>食品及饲料添加剂制造]</w:t>
            </w:r>
            <w:r>
              <w:rPr>
                <w:rFonts w:hint="eastAsia" w:cs="Times New Roman"/>
                <w:color w:val="auto"/>
                <w:kern w:val="2"/>
                <w:sz w:val="24"/>
                <w:szCs w:val="22"/>
                <w:lang w:val="en-US" w:eastAsia="zh-CN" w:bidi="ar-SA"/>
              </w:rPr>
              <w:t>，</w:t>
            </w:r>
            <w:r>
              <w:rPr>
                <w:rFonts w:hint="eastAsia" w:ascii="Times New Roman" w:hAnsi="Times New Roman" w:eastAsia="宋体" w:cs="Times New Roman"/>
                <w:color w:val="auto"/>
                <w:kern w:val="2"/>
                <w:sz w:val="24"/>
                <w:szCs w:val="22"/>
                <w:lang w:val="en-US" w:eastAsia="zh-CN" w:bidi="ar-SA"/>
              </w:rPr>
              <w:t>因此该项目属于《产业结构调整指导目录（2019年本）》“鼓励类”中的“</w:t>
            </w:r>
            <w:r>
              <w:rPr>
                <w:rFonts w:hint="default" w:ascii="Times New Roman" w:hAnsi="Times New Roman" w:eastAsia="宋体" w:cs="Times New Roman"/>
                <w:color w:val="auto"/>
                <w:kern w:val="2"/>
                <w:sz w:val="24"/>
                <w:szCs w:val="22"/>
                <w:lang w:val="en-US" w:eastAsia="zh-CN" w:bidi="ar-SA"/>
              </w:rPr>
              <w:t>十九、轻工</w:t>
            </w:r>
            <w:r>
              <w:rPr>
                <w:rFonts w:hint="eastAsia" w:ascii="Times New Roman" w:hAnsi="Times New Roman" w:eastAsia="宋体" w:cs="Times New Roman"/>
                <w:color w:val="auto"/>
                <w:kern w:val="2"/>
                <w:sz w:val="24"/>
                <w:szCs w:val="22"/>
                <w:lang w:val="en-US" w:eastAsia="zh-CN" w:bidi="ar-SA"/>
              </w:rPr>
              <w:t>的</w:t>
            </w:r>
            <w:r>
              <w:rPr>
                <w:rFonts w:hint="default" w:ascii="Times New Roman" w:hAnsi="Times New Roman" w:eastAsia="宋体" w:cs="Times New Roman"/>
                <w:color w:val="auto"/>
                <w:kern w:val="2"/>
                <w:sz w:val="24"/>
                <w:szCs w:val="22"/>
                <w:lang w:val="en-US" w:eastAsia="zh-CN" w:bidi="ar-SA"/>
              </w:rPr>
              <w:t>24</w:t>
            </w:r>
            <w:r>
              <w:rPr>
                <w:rFonts w:hint="eastAsia" w:ascii="Times New Roman" w:hAnsi="Times New Roman" w:eastAsia="宋体" w:cs="Times New Roman"/>
                <w:color w:val="auto"/>
                <w:kern w:val="2"/>
                <w:sz w:val="24"/>
                <w:szCs w:val="22"/>
                <w:lang w:val="en-US" w:eastAsia="zh-CN" w:bidi="ar-SA"/>
              </w:rPr>
              <w:t>、天然食品添加剂、天然香料新技术开发与生产”，符合国家产业政策。项目已取得青岛西海岸新区行政审批</w:t>
            </w:r>
            <w:r>
              <w:rPr>
                <w:rFonts w:hint="eastAsia"/>
                <w:sz w:val="24"/>
              </w:rPr>
              <w:t>服务局</w:t>
            </w:r>
            <w:r>
              <w:rPr>
                <w:rFonts w:ascii="Times New Roman" w:hAnsi="Times New Roman"/>
                <w:color w:val="auto"/>
                <w:highlight w:val="none"/>
                <w:lang w:val="en-US" w:eastAsia="zh-CN"/>
              </w:rPr>
              <w:t>备案证</w:t>
            </w:r>
            <w:r>
              <w:rPr>
                <w:rFonts w:ascii="Times New Roman" w:hAnsi="Times New Roman"/>
                <w:color w:val="auto"/>
                <w:sz w:val="24"/>
                <w:szCs w:val="24"/>
                <w:highlight w:val="none"/>
                <w:lang w:val="en-US" w:eastAsia="zh-CN"/>
              </w:rPr>
              <w:t>明（批准文号：</w:t>
            </w:r>
            <w:r>
              <w:rPr>
                <w:rFonts w:hint="eastAsia"/>
                <w:sz w:val="24"/>
                <w:szCs w:val="24"/>
              </w:rPr>
              <w:t>2020-370211-14-03-000003</w:t>
            </w:r>
            <w:r>
              <w:rPr>
                <w:rFonts w:ascii="Times New Roman" w:hAnsi="Times New Roman"/>
                <w:color w:val="auto"/>
                <w:sz w:val="24"/>
                <w:szCs w:val="24"/>
                <w:highlight w:val="none"/>
                <w:lang w:val="en-US" w:eastAsia="zh-CN"/>
              </w:rPr>
              <w:t>）。</w:t>
            </w:r>
          </w:p>
          <w:p>
            <w:pPr>
              <w:pStyle w:val="3"/>
              <w:keepNext w:val="0"/>
              <w:keepLines w:val="0"/>
              <w:pageBreakBefore w:val="0"/>
              <w:widowControl w:val="0"/>
              <w:kinsoku/>
              <w:wordWrap/>
              <w:overflowPunct/>
              <w:topLinePunct w:val="0"/>
              <w:autoSpaceDE/>
              <w:autoSpaceDN/>
              <w:bidi w:val="0"/>
              <w:adjustRightInd w:val="0"/>
              <w:snapToGrid w:val="0"/>
              <w:spacing w:after="0" w:afterLines="0" w:line="360" w:lineRule="auto"/>
              <w:ind w:left="0" w:leftChars="0" w:firstLine="480" w:firstLineChars="200"/>
              <w:jc w:val="both"/>
              <w:rPr>
                <w:rFonts w:ascii="Times New Roman" w:hAnsi="Times New Roman"/>
                <w:color w:val="auto"/>
                <w:sz w:val="24"/>
                <w:szCs w:val="24"/>
                <w:lang w:val="en-US" w:eastAsia="zh-CN"/>
              </w:rPr>
            </w:pPr>
            <w:r>
              <w:rPr>
                <w:rFonts w:ascii="Times New Roman" w:hAnsi="Times New Roman"/>
                <w:color w:val="auto"/>
                <w:sz w:val="24"/>
                <w:szCs w:val="24"/>
                <w:lang w:val="en-US" w:eastAsia="zh-CN"/>
              </w:rPr>
              <w:t>（2）用地规划符合性</w:t>
            </w:r>
          </w:p>
          <w:p>
            <w:pPr>
              <w:pStyle w:val="3"/>
              <w:keepNext w:val="0"/>
              <w:keepLines w:val="0"/>
              <w:pageBreakBefore w:val="0"/>
              <w:widowControl w:val="0"/>
              <w:kinsoku/>
              <w:wordWrap/>
              <w:overflowPunct/>
              <w:topLinePunct w:val="0"/>
              <w:autoSpaceDE/>
              <w:autoSpaceDN/>
              <w:bidi w:val="0"/>
              <w:adjustRightInd w:val="0"/>
              <w:snapToGrid w:val="0"/>
              <w:spacing w:after="0" w:afterLines="0" w:line="360" w:lineRule="auto"/>
              <w:ind w:left="0" w:leftChars="0" w:firstLine="480" w:firstLineChars="200"/>
              <w:rPr>
                <w:rFonts w:ascii="Times New Roman" w:hAnsi="Times New Roman"/>
                <w:color w:val="auto"/>
                <w:sz w:val="24"/>
                <w:szCs w:val="24"/>
                <w:lang w:val="en-US" w:eastAsia="zh-CN"/>
              </w:rPr>
            </w:pPr>
            <w:r>
              <w:rPr>
                <w:rFonts w:ascii="Times New Roman" w:hAnsi="Times New Roman"/>
                <w:color w:val="auto"/>
                <w:sz w:val="24"/>
                <w:szCs w:val="24"/>
                <w:lang w:val="en-US" w:eastAsia="zh-CN"/>
              </w:rPr>
              <w:t>项目</w:t>
            </w:r>
            <w:r>
              <w:rPr>
                <w:rFonts w:hint="eastAsia"/>
                <w:color w:val="auto"/>
                <w:sz w:val="24"/>
                <w:szCs w:val="24"/>
                <w:lang w:val="en-US" w:eastAsia="zh-CN"/>
              </w:rPr>
              <w:t>租赁</w:t>
            </w:r>
            <w:r>
              <w:rPr>
                <w:rFonts w:hint="default" w:ascii="Times New Roman" w:hAnsi="Times New Roman" w:cs="Times New Roman"/>
                <w:sz w:val="24"/>
                <w:szCs w:val="24"/>
              </w:rPr>
              <w:t>青岛奥立丰工业制品有限公司</w:t>
            </w:r>
            <w:r>
              <w:rPr>
                <w:rFonts w:hint="eastAsia" w:cs="Times New Roman"/>
                <w:sz w:val="24"/>
                <w:szCs w:val="24"/>
                <w:lang w:val="en-US" w:eastAsia="zh-CN"/>
              </w:rPr>
              <w:t>闲置</w:t>
            </w:r>
            <w:r>
              <w:rPr>
                <w:rFonts w:hint="default" w:ascii="Times New Roman" w:hAnsi="Times New Roman" w:cs="Times New Roman"/>
                <w:sz w:val="24"/>
                <w:szCs w:val="24"/>
              </w:rPr>
              <w:t>厂房</w:t>
            </w:r>
            <w:r>
              <w:rPr>
                <w:rFonts w:hint="eastAsia" w:cs="Times New Roman"/>
                <w:sz w:val="24"/>
                <w:szCs w:val="24"/>
                <w:lang w:val="en-US" w:eastAsia="zh-CN"/>
              </w:rPr>
              <w:t>，位于</w:t>
            </w:r>
            <w:r>
              <w:rPr>
                <w:rFonts w:hint="eastAsia" w:ascii="Times New Roman" w:hAnsi="Times New Roman" w:cs="Times New Roman" w:eastAsiaTheme="minorEastAsia"/>
                <w:b w:val="0"/>
                <w:bCs/>
                <w:sz w:val="24"/>
                <w:szCs w:val="22"/>
                <w:lang w:eastAsia="zh-CN"/>
              </w:rPr>
              <w:t>青岛西海岸新区大珠山路东、隐珠山路北</w:t>
            </w:r>
            <w:r>
              <w:rPr>
                <w:rFonts w:hint="eastAsia" w:cs="Times New Roman"/>
                <w:b w:val="0"/>
                <w:bCs w:val="0"/>
                <w:sz w:val="24"/>
                <w:szCs w:val="24"/>
                <w:lang w:val="en-US" w:eastAsia="zh-CN"/>
              </w:rPr>
              <w:t>，所在厂区</w:t>
            </w:r>
            <w:r>
              <w:rPr>
                <w:rFonts w:ascii="Times New Roman" w:hAnsi="Times New Roman"/>
                <w:color w:val="auto"/>
                <w:sz w:val="24"/>
                <w:szCs w:val="24"/>
                <w:lang w:val="en-US" w:eastAsia="zh-CN"/>
              </w:rPr>
              <w:t>土地用途</w:t>
            </w:r>
            <w:r>
              <w:rPr>
                <w:rFonts w:hint="eastAsia"/>
                <w:color w:val="auto"/>
                <w:sz w:val="24"/>
                <w:szCs w:val="24"/>
                <w:lang w:val="en-US" w:eastAsia="zh-CN"/>
              </w:rPr>
              <w:t>为</w:t>
            </w:r>
            <w:r>
              <w:rPr>
                <w:rFonts w:ascii="Times New Roman" w:hAnsi="Times New Roman"/>
                <w:color w:val="auto"/>
                <w:sz w:val="24"/>
                <w:szCs w:val="24"/>
                <w:lang w:val="en-US" w:eastAsia="zh-CN"/>
              </w:rPr>
              <w:t>工业用地，已取得</w:t>
            </w:r>
            <w:r>
              <w:rPr>
                <w:rFonts w:hint="eastAsia"/>
                <w:color w:val="auto"/>
                <w:sz w:val="24"/>
                <w:szCs w:val="24"/>
                <w:lang w:val="en-US" w:eastAsia="zh-CN"/>
              </w:rPr>
              <w:t>青岛市黄岛区自然资源将局颁发的房地产权证</w:t>
            </w:r>
            <w:r>
              <w:rPr>
                <w:rFonts w:ascii="Times New Roman" w:hAnsi="Times New Roman"/>
                <w:color w:val="auto"/>
                <w:sz w:val="24"/>
                <w:szCs w:val="24"/>
                <w:lang w:val="en-US" w:eastAsia="zh-CN"/>
              </w:rPr>
              <w:t>（</w:t>
            </w:r>
            <w:r>
              <w:rPr>
                <w:rFonts w:hint="eastAsia"/>
                <w:color w:val="auto"/>
                <w:sz w:val="24"/>
                <w:szCs w:val="24"/>
                <w:lang w:val="en-US" w:eastAsia="zh-CN"/>
              </w:rPr>
              <w:t>鲁（2019）青岛市黄岛区不动产权第0046598号</w:t>
            </w:r>
            <w:r>
              <w:rPr>
                <w:rFonts w:ascii="Times New Roman" w:hAnsi="Times New Roman"/>
                <w:color w:val="auto"/>
                <w:sz w:val="24"/>
                <w:szCs w:val="24"/>
                <w:lang w:val="en-US" w:eastAsia="zh-CN"/>
              </w:rPr>
              <w:t>）。根据《青岛西海岸新区总体规划》（2018-2035年），项目所在地规划为工业用地，符合当地总体规划要求。项目用地规划见</w:t>
            </w:r>
            <w:r>
              <w:rPr>
                <w:rFonts w:ascii="Times New Roman" w:hAnsi="Times New Roman"/>
                <w:b/>
                <w:color w:val="auto"/>
                <w:sz w:val="24"/>
                <w:szCs w:val="24"/>
                <w:lang w:val="en-US" w:eastAsia="zh-CN"/>
              </w:rPr>
              <w:t>附图4</w:t>
            </w:r>
            <w:r>
              <w:rPr>
                <w:rFonts w:ascii="Times New Roman" w:hAnsi="Times New Roman"/>
                <w:color w:val="auto"/>
                <w:sz w:val="24"/>
                <w:szCs w:val="24"/>
                <w:lang w:val="en-US" w:eastAsia="zh-CN"/>
              </w:rPr>
              <w:t>。</w:t>
            </w:r>
          </w:p>
          <w:p>
            <w:pPr>
              <w:pStyle w:val="2"/>
              <w:keepNext w:val="0"/>
              <w:keepLines w:val="0"/>
              <w:pageBreakBefore w:val="0"/>
              <w:widowControl w:val="0"/>
              <w:kinsoku/>
              <w:wordWrap/>
              <w:overflowPunct/>
              <w:topLinePunct w:val="0"/>
              <w:autoSpaceDE/>
              <w:autoSpaceDN/>
              <w:bidi w:val="0"/>
              <w:adjustRightInd w:val="0"/>
              <w:snapToGrid w:val="0"/>
              <w:spacing w:after="0" w:afterLines="0" w:line="360" w:lineRule="auto"/>
              <w:ind w:left="0" w:leftChars="0" w:firstLine="480" w:firstLineChars="200"/>
              <w:rPr>
                <w:color w:val="auto"/>
                <w:sz w:val="24"/>
              </w:rPr>
            </w:pPr>
            <w:r>
              <w:rPr>
                <w:rFonts w:ascii="Times New Roman" w:hAnsi="Times New Roman"/>
                <w:color w:val="auto"/>
                <w:sz w:val="24"/>
                <w:szCs w:val="24"/>
                <w:lang w:val="en-US" w:eastAsia="zh-CN"/>
              </w:rPr>
              <w:t>（3）</w:t>
            </w:r>
            <w:r>
              <w:rPr>
                <w:color w:val="auto"/>
                <w:sz w:val="24"/>
              </w:rPr>
              <w:t>三线一单符合性分析</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color w:val="auto"/>
                <w:sz w:val="24"/>
              </w:rPr>
            </w:pPr>
            <w:r>
              <w:rPr>
                <w:color w:val="auto"/>
                <w:sz w:val="24"/>
              </w:rPr>
              <w:t>①生态保护红线</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color w:val="auto"/>
                <w:sz w:val="24"/>
              </w:rPr>
            </w:pPr>
            <w:r>
              <w:rPr>
                <w:color w:val="auto"/>
                <w:sz w:val="24"/>
              </w:rPr>
              <w:t>根据《山东省生态保护红线规划（2016-2020年）图集》，该项目用地与各生态保护红线范围相对位置关系见</w:t>
            </w:r>
            <w:r>
              <w:rPr>
                <w:b/>
                <w:color w:val="auto"/>
                <w:sz w:val="24"/>
              </w:rPr>
              <w:t>附图</w:t>
            </w:r>
            <w:r>
              <w:rPr>
                <w:rFonts w:hint="eastAsia"/>
                <w:b/>
                <w:color w:val="auto"/>
                <w:sz w:val="24"/>
                <w:lang w:val="en-US" w:eastAsia="zh-CN"/>
              </w:rPr>
              <w:t>5</w:t>
            </w:r>
            <w:r>
              <w:rPr>
                <w:color w:val="auto"/>
                <w:sz w:val="24"/>
              </w:rPr>
              <w:t>。由</w:t>
            </w:r>
            <w:r>
              <w:rPr>
                <w:b/>
                <w:color w:val="auto"/>
                <w:sz w:val="24"/>
              </w:rPr>
              <w:t>附图</w:t>
            </w:r>
            <w:r>
              <w:rPr>
                <w:rFonts w:hint="eastAsia"/>
                <w:b/>
                <w:color w:val="auto"/>
                <w:sz w:val="24"/>
                <w:lang w:val="en-US" w:eastAsia="zh-CN"/>
              </w:rPr>
              <w:t>5</w:t>
            </w:r>
            <w:r>
              <w:rPr>
                <w:color w:val="auto"/>
                <w:sz w:val="24"/>
              </w:rPr>
              <w:t>可知，项目不在生态环保红线内，项目不违反《山东省生态保护红线规划（2016-2020年）》相关规定。</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color w:val="auto"/>
                <w:sz w:val="24"/>
              </w:rPr>
            </w:pPr>
            <w:r>
              <w:rPr>
                <w:color w:val="auto"/>
                <w:sz w:val="24"/>
              </w:rPr>
              <w:t>②环境质量底线</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rPr>
                <w:color w:val="auto"/>
                <w:sz w:val="24"/>
              </w:rPr>
            </w:pPr>
            <w:r>
              <w:rPr>
                <w:color w:val="auto"/>
                <w:sz w:val="24"/>
              </w:rPr>
              <w:t>项目所在地大气环境满足《环境空气质量标准》（GB3095-2012）中二级标准要求，地下水环境满足《地下水质量标准》（GB/T14848-2017）Ⅲ类标准，声环境达到《声环境质量标准》（GB3096-2008）中的</w:t>
            </w:r>
            <w:r>
              <w:rPr>
                <w:rFonts w:hint="eastAsia"/>
                <w:color w:val="auto"/>
                <w:sz w:val="24"/>
                <w:lang w:val="en-US" w:eastAsia="zh-CN"/>
              </w:rPr>
              <w:t>3</w:t>
            </w:r>
            <w:r>
              <w:rPr>
                <w:color w:val="auto"/>
                <w:sz w:val="24"/>
              </w:rPr>
              <w:t>类声环境功能区标准。该项目废气、废水、噪声均达标排放；固废分类处置，对周边环境影响较小。该项目采取相应的污染防治措施后，各类污染物的排放对周边环境影响较小，即该项目的建设满足环境质量底线标准要求。</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rPr>
                <w:color w:val="auto"/>
                <w:sz w:val="24"/>
              </w:rPr>
            </w:pPr>
            <w:r>
              <w:rPr>
                <w:color w:val="auto"/>
                <w:sz w:val="24"/>
              </w:rPr>
              <w:t>③资源利用上线</w:t>
            </w:r>
          </w:p>
          <w:p>
            <w:pPr>
              <w:pStyle w:val="2"/>
              <w:keepNext w:val="0"/>
              <w:keepLines w:val="0"/>
              <w:pageBreakBefore w:val="0"/>
              <w:widowControl w:val="0"/>
              <w:kinsoku/>
              <w:wordWrap/>
              <w:overflowPunct/>
              <w:topLinePunct w:val="0"/>
              <w:autoSpaceDE/>
              <w:autoSpaceDN/>
              <w:bidi w:val="0"/>
              <w:adjustRightInd w:val="0"/>
              <w:snapToGrid w:val="0"/>
              <w:spacing w:after="0" w:afterLines="0" w:line="360" w:lineRule="auto"/>
              <w:ind w:left="0" w:leftChars="0" w:firstLine="480" w:firstLineChars="200"/>
              <w:rPr>
                <w:color w:val="auto"/>
                <w:sz w:val="24"/>
              </w:rPr>
            </w:pPr>
            <w:r>
              <w:rPr>
                <w:color w:val="auto"/>
                <w:sz w:val="24"/>
              </w:rPr>
              <w:t>该项目所使用的能源主要为水、电能，物耗及能耗水平较低，不超出当地资源利用上线。</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val="en-US" w:eastAsia="zh-CN"/>
              </w:rPr>
            </w:pPr>
            <w:r>
              <w:rPr>
                <w:sz w:val="24"/>
                <w:szCs w:val="24"/>
              </w:rPr>
              <w:fldChar w:fldCharType="begin"/>
            </w:r>
            <w:r>
              <w:rPr>
                <w:sz w:val="24"/>
                <w:szCs w:val="24"/>
              </w:rPr>
              <w:instrText xml:space="preserve"> = 4 \* GB3 \* MERGEFORMAT </w:instrText>
            </w:r>
            <w:r>
              <w:rPr>
                <w:sz w:val="24"/>
                <w:szCs w:val="24"/>
              </w:rPr>
              <w:fldChar w:fldCharType="separate"/>
            </w:r>
            <w:r>
              <w:rPr>
                <w:sz w:val="24"/>
                <w:szCs w:val="24"/>
              </w:rPr>
              <w:t>④</w:t>
            </w:r>
            <w:r>
              <w:rPr>
                <w:sz w:val="24"/>
                <w:szCs w:val="24"/>
              </w:rPr>
              <w:fldChar w:fldCharType="end"/>
            </w:r>
            <w:r>
              <w:rPr>
                <w:rFonts w:hint="eastAsia"/>
                <w:sz w:val="24"/>
                <w:szCs w:val="24"/>
                <w:lang w:val="en-US" w:eastAsia="zh-CN"/>
              </w:rPr>
              <w:t>环境准入负面清单</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sz w:val="24"/>
                <w:szCs w:val="24"/>
                <w:lang w:val="en-US" w:eastAsia="zh-CN"/>
              </w:rPr>
            </w:pPr>
            <w:r>
              <w:rPr>
                <w:rFonts w:hint="eastAsia"/>
                <w:sz w:val="24"/>
                <w:szCs w:val="24"/>
                <w:lang w:val="en-US" w:eastAsia="zh-CN"/>
              </w:rPr>
              <w:t xml:space="preserve"> 目前该区域尚未制定环境准入负面清单。</w:t>
            </w:r>
          </w:p>
          <w:p>
            <w:pPr>
              <w:pStyle w:val="2"/>
              <w:keepNext w:val="0"/>
              <w:keepLines w:val="0"/>
              <w:pageBreakBefore w:val="0"/>
              <w:widowControl w:val="0"/>
              <w:kinsoku/>
              <w:wordWrap/>
              <w:overflowPunct/>
              <w:topLinePunct w:val="0"/>
              <w:autoSpaceDE/>
              <w:autoSpaceDN/>
              <w:bidi w:val="0"/>
              <w:adjustRightInd w:val="0"/>
              <w:snapToGrid w:val="0"/>
              <w:spacing w:after="0" w:afterLines="0" w:line="360" w:lineRule="auto"/>
              <w:ind w:left="0" w:leftChars="0" w:firstLine="480" w:firstLineChars="200"/>
              <w:rPr>
                <w:rFonts w:hint="default" w:eastAsia="宋体"/>
                <w:sz w:val="24"/>
                <w:szCs w:val="24"/>
                <w:lang w:val="en-US" w:eastAsia="zh-CN"/>
              </w:rPr>
            </w:pPr>
            <w:r>
              <w:rPr>
                <w:rFonts w:hint="eastAsia"/>
                <w:sz w:val="24"/>
                <w:szCs w:val="24"/>
                <w:lang w:val="en-US" w:eastAsia="zh-CN"/>
              </w:rPr>
              <w:t>综上所述，项目周边多为工业企业，周边环境不敏感目，且不在</w:t>
            </w:r>
            <w:r>
              <w:rPr>
                <w:color w:val="auto"/>
                <w:sz w:val="24"/>
                <w:szCs w:val="24"/>
              </w:rPr>
              <w:t>生态环保红线内</w:t>
            </w:r>
            <w:r>
              <w:rPr>
                <w:rFonts w:hint="eastAsia"/>
                <w:color w:val="auto"/>
                <w:sz w:val="24"/>
                <w:szCs w:val="24"/>
                <w:lang w:eastAsia="zh-CN"/>
              </w:rPr>
              <w:t>，</w:t>
            </w:r>
            <w:r>
              <w:rPr>
                <w:rFonts w:hint="eastAsia"/>
                <w:color w:val="auto"/>
                <w:sz w:val="24"/>
                <w:szCs w:val="24"/>
                <w:lang w:val="en-US" w:eastAsia="zh-CN"/>
              </w:rPr>
              <w:t>因此，项目选址合理。</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2" w:firstLineChars="200"/>
              <w:rPr>
                <w:rFonts w:hint="eastAsia" w:ascii="宋体" w:hAnsi="宋体" w:cs="宋体"/>
                <w:b/>
                <w:bCs/>
                <w:sz w:val="24"/>
                <w:szCs w:val="24"/>
              </w:rPr>
            </w:pPr>
            <w:r>
              <w:rPr>
                <w:rFonts w:hint="eastAsia" w:ascii="宋体" w:hAnsi="宋体" w:cs="宋体"/>
                <w:b/>
                <w:bCs/>
                <w:sz w:val="24"/>
                <w:szCs w:val="24"/>
              </w:rPr>
              <w:t>二、</w:t>
            </w:r>
            <w:r>
              <w:rPr>
                <w:rFonts w:hint="eastAsia" w:ascii="宋体" w:hAnsi="宋体"/>
                <w:b/>
                <w:sz w:val="24"/>
              </w:rPr>
              <w:t>工程内容及规模</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rPr>
                <w:rFonts w:hint="eastAsia" w:ascii="宋体" w:hAnsi="宋体"/>
                <w:b/>
                <w:sz w:val="24"/>
              </w:rPr>
            </w:pPr>
            <w:r>
              <w:rPr>
                <w:rFonts w:hint="eastAsia" w:ascii="宋体" w:hAnsi="宋体"/>
                <w:b/>
                <w:sz w:val="24"/>
              </w:rPr>
              <w:t>1、工程概况</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rPr>
                <w:rFonts w:hint="eastAsia"/>
                <w:sz w:val="24"/>
                <w:szCs w:val="24"/>
              </w:rPr>
            </w:pPr>
            <w:r>
              <w:rPr>
                <w:rFonts w:hint="eastAsia"/>
                <w:sz w:val="24"/>
                <w:szCs w:val="24"/>
              </w:rPr>
              <w:t>项目名称：</w:t>
            </w:r>
            <w:r>
              <w:rPr>
                <w:rFonts w:hint="eastAsia" w:cs="Times New Roman" w:eastAsiaTheme="minorEastAsia"/>
                <w:b w:val="0"/>
                <w:bCs/>
                <w:sz w:val="24"/>
                <w:lang w:val="en-US" w:eastAsia="zh-CN"/>
              </w:rPr>
              <w:t>天然食品添加剂</w:t>
            </w:r>
            <w:r>
              <w:rPr>
                <w:rFonts w:hint="default" w:ascii="Times New Roman" w:hAnsi="Times New Roman" w:cs="Times New Roman" w:eastAsiaTheme="minorEastAsia"/>
                <w:b w:val="0"/>
                <w:bCs/>
                <w:sz w:val="24"/>
                <w:lang w:eastAsia="zh-CN"/>
              </w:rPr>
              <w:t>生产项目</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rPr>
                <w:rFonts w:hint="default" w:ascii="Times New Roman" w:hAnsi="Times New Roman" w:cs="Times New Roman" w:eastAsiaTheme="minorEastAsia"/>
                <w:b w:val="0"/>
                <w:bCs/>
                <w:sz w:val="24"/>
                <w:lang w:eastAsia="zh-CN"/>
              </w:rPr>
            </w:pPr>
            <w:r>
              <w:rPr>
                <w:rFonts w:hint="eastAsia"/>
                <w:sz w:val="24"/>
                <w:szCs w:val="24"/>
              </w:rPr>
              <w:t>建设单位：</w:t>
            </w:r>
            <w:r>
              <w:rPr>
                <w:rFonts w:hint="default" w:ascii="Times New Roman" w:hAnsi="Times New Roman" w:cs="Times New Roman" w:eastAsiaTheme="minorEastAsia"/>
                <w:b w:val="0"/>
                <w:bCs/>
                <w:sz w:val="24"/>
                <w:lang w:eastAsia="zh-CN"/>
              </w:rPr>
              <w:t>青岛瑞翰天成生物科技有限公司</w:t>
            </w:r>
          </w:p>
          <w:p>
            <w:pPr>
              <w:adjustRightInd w:val="0"/>
              <w:snapToGrid w:val="0"/>
              <w:spacing w:line="360" w:lineRule="auto"/>
              <w:ind w:firstLine="480" w:firstLineChars="200"/>
              <w:rPr>
                <w:rFonts w:hint="eastAsia"/>
                <w:sz w:val="24"/>
                <w:szCs w:val="24"/>
              </w:rPr>
            </w:pPr>
            <w:r>
              <w:rPr>
                <w:rFonts w:hint="eastAsia"/>
                <w:sz w:val="24"/>
                <w:szCs w:val="24"/>
              </w:rPr>
              <w:t>建设性质：新建</w:t>
            </w:r>
          </w:p>
          <w:p>
            <w:pPr>
              <w:adjustRightInd w:val="0"/>
              <w:snapToGrid w:val="0"/>
              <w:spacing w:line="360" w:lineRule="auto"/>
              <w:ind w:firstLine="480" w:firstLineChars="200"/>
              <w:rPr>
                <w:rFonts w:hint="eastAsia" w:ascii="Times New Roman" w:hAnsi="Times New Roman" w:cs="Times New Roman" w:eastAsiaTheme="minorEastAsia"/>
                <w:b w:val="0"/>
                <w:bCs/>
                <w:sz w:val="24"/>
                <w:szCs w:val="22"/>
                <w:lang w:eastAsia="zh-CN"/>
              </w:rPr>
            </w:pPr>
            <w:r>
              <w:rPr>
                <w:rFonts w:hint="eastAsia"/>
                <w:sz w:val="24"/>
                <w:szCs w:val="24"/>
              </w:rPr>
              <w:t>建设地点：</w:t>
            </w:r>
            <w:r>
              <w:rPr>
                <w:rFonts w:hint="eastAsia" w:ascii="Times New Roman" w:hAnsi="Times New Roman" w:cs="Times New Roman" w:eastAsiaTheme="minorEastAsia"/>
                <w:b w:val="0"/>
                <w:bCs/>
                <w:sz w:val="24"/>
                <w:szCs w:val="22"/>
                <w:lang w:eastAsia="zh-CN"/>
              </w:rPr>
              <w:t>青岛西海岸新区大珠山路东、隐珠山路北</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eastAsia="宋体"/>
                <w:bCs/>
                <w:sz w:val="24"/>
                <w:lang w:val="en-US" w:eastAsia="zh-CN"/>
              </w:rPr>
            </w:pPr>
            <w:r>
              <w:rPr>
                <w:rFonts w:hint="eastAsia"/>
                <w:sz w:val="24"/>
                <w:szCs w:val="24"/>
              </w:rPr>
              <w:t>建设规模：项目租用</w:t>
            </w:r>
            <w:r>
              <w:rPr>
                <w:rFonts w:hint="default" w:ascii="Times New Roman" w:hAnsi="Times New Roman" w:cs="Times New Roman"/>
                <w:sz w:val="24"/>
                <w:szCs w:val="24"/>
              </w:rPr>
              <w:t>青岛奥立丰工业制品有限公司</w:t>
            </w:r>
            <w:r>
              <w:rPr>
                <w:rFonts w:hint="eastAsia" w:cs="Times New Roman"/>
                <w:sz w:val="24"/>
                <w:szCs w:val="24"/>
                <w:lang w:val="en-US" w:eastAsia="zh-CN"/>
              </w:rPr>
              <w:t>闲置</w:t>
            </w:r>
            <w:r>
              <w:rPr>
                <w:rFonts w:hint="default" w:ascii="Times New Roman" w:hAnsi="Times New Roman" w:cs="Times New Roman"/>
                <w:sz w:val="24"/>
                <w:szCs w:val="24"/>
              </w:rPr>
              <w:t>厂房，</w:t>
            </w:r>
            <w:r>
              <w:rPr>
                <w:rFonts w:hint="eastAsia" w:cs="Times New Roman"/>
                <w:sz w:val="24"/>
                <w:szCs w:val="24"/>
                <w:lang w:val="en-US" w:eastAsia="zh-CN"/>
              </w:rPr>
              <w:t>该厂房有3层，项目位于厂房的1层，</w:t>
            </w:r>
            <w:r>
              <w:rPr>
                <w:rFonts w:hint="default" w:ascii="Times New Roman" w:hAnsi="Times New Roman" w:cs="Times New Roman"/>
                <w:sz w:val="24"/>
                <w:szCs w:val="24"/>
              </w:rPr>
              <w:t>建筑面</w:t>
            </w:r>
            <w:r>
              <w:rPr>
                <w:rFonts w:hint="default" w:ascii="Times New Roman" w:hAnsi="Times New Roman" w:cs="Times New Roman"/>
                <w:color w:val="auto"/>
                <w:sz w:val="24"/>
                <w:szCs w:val="24"/>
              </w:rPr>
              <w:t>积</w:t>
            </w:r>
            <w:r>
              <w:rPr>
                <w:rFonts w:hint="eastAsia" w:cs="Times New Roman"/>
                <w:sz w:val="24"/>
                <w:szCs w:val="24"/>
                <w:lang w:val="en-US" w:eastAsia="zh-CN"/>
              </w:rPr>
              <w:t>3153</w:t>
            </w:r>
            <w:r>
              <w:rPr>
                <w:rFonts w:hint="default" w:ascii="Times New Roman" w:hAnsi="Times New Roman" w:cs="Times New Roman"/>
                <w:color w:val="auto"/>
                <w:sz w:val="24"/>
                <w:szCs w:val="24"/>
              </w:rPr>
              <w:t>m</w:t>
            </w:r>
            <w:r>
              <w:rPr>
                <w:rFonts w:hint="default" w:ascii="Times New Roman" w:hAnsi="Times New Roman" w:cs="Times New Roman"/>
                <w:color w:val="auto"/>
                <w:sz w:val="24"/>
                <w:szCs w:val="24"/>
                <w:vertAlign w:val="superscript"/>
              </w:rPr>
              <w:t>2</w:t>
            </w:r>
            <w:r>
              <w:rPr>
                <w:rFonts w:hint="default" w:ascii="Times New Roman" w:hAnsi="Times New Roman" w:cs="Times New Roman"/>
                <w:color w:val="auto"/>
                <w:sz w:val="24"/>
                <w:szCs w:val="24"/>
              </w:rPr>
              <w:t>，</w:t>
            </w:r>
            <w:r>
              <w:rPr>
                <w:rFonts w:hint="eastAsia" w:cs="Times New Roman"/>
                <w:color w:val="auto"/>
                <w:sz w:val="24"/>
                <w:szCs w:val="24"/>
                <w:lang w:val="en-US" w:eastAsia="zh-CN"/>
              </w:rPr>
              <w:t>项目包括1个生产车间及1栋办公楼，从事水溶性植物提取物生产，主要用作食品添加剂，建成后</w:t>
            </w:r>
            <w:r>
              <w:rPr>
                <w:rFonts w:hint="default" w:ascii="Times New Roman" w:hAnsi="Times New Roman" w:cs="Times New Roman"/>
                <w:sz w:val="24"/>
                <w:szCs w:val="24"/>
              </w:rPr>
              <w:t>，</w:t>
            </w:r>
            <w:r>
              <w:rPr>
                <w:rFonts w:hint="eastAsia" w:cs="Times New Roman"/>
                <w:sz w:val="24"/>
                <w:szCs w:val="24"/>
                <w:lang w:val="en-US" w:eastAsia="zh-CN"/>
              </w:rPr>
              <w:t>达到年产</w:t>
            </w:r>
            <w:r>
              <w:rPr>
                <w:rFonts w:hint="default" w:ascii="Times New Roman" w:hAnsi="Times New Roman" w:cs="Times New Roman"/>
                <w:sz w:val="24"/>
                <w:szCs w:val="24"/>
              </w:rPr>
              <w:t>12吨的天然</w:t>
            </w:r>
            <w:r>
              <w:rPr>
                <w:rFonts w:hint="eastAsia" w:cs="Times New Roman"/>
                <w:sz w:val="24"/>
                <w:szCs w:val="24"/>
                <w:lang w:val="en-US" w:eastAsia="zh-CN"/>
              </w:rPr>
              <w:t>食品</w:t>
            </w:r>
            <w:r>
              <w:rPr>
                <w:rFonts w:hint="default" w:ascii="Times New Roman" w:hAnsi="Times New Roman" w:cs="Times New Roman"/>
                <w:sz w:val="24"/>
                <w:szCs w:val="24"/>
              </w:rPr>
              <w:t>添加剂</w:t>
            </w:r>
            <w:r>
              <w:rPr>
                <w:rFonts w:hint="eastAsia" w:cs="Times New Roman"/>
                <w:sz w:val="24"/>
                <w:szCs w:val="24"/>
                <w:lang w:val="en-US" w:eastAsia="zh-CN"/>
              </w:rPr>
              <w:t>的生产能力</w:t>
            </w:r>
            <w:r>
              <w:rPr>
                <w:rFonts w:hint="eastAsia" w:cs="Times New Roman"/>
                <w:sz w:val="24"/>
                <w:szCs w:val="24"/>
                <w:lang w:eastAsia="zh-CN"/>
              </w:rPr>
              <w:t>。</w:t>
            </w:r>
            <w:r>
              <w:rPr>
                <w:rFonts w:hint="eastAsia"/>
                <w:bCs/>
                <w:sz w:val="24"/>
              </w:rPr>
              <w:t>项目主要工程内容及规模见表</w:t>
            </w:r>
            <w:r>
              <w:rPr>
                <w:rFonts w:hint="eastAsia"/>
                <w:bCs/>
                <w:sz w:val="24"/>
                <w:lang w:val="en-US" w:eastAsia="zh-CN"/>
              </w:rPr>
              <w:t>1。</w:t>
            </w:r>
          </w:p>
          <w:p>
            <w:pPr>
              <w:keepNext w:val="0"/>
              <w:keepLines w:val="0"/>
              <w:pageBreakBefore w:val="0"/>
              <w:widowControl w:val="0"/>
              <w:kinsoku/>
              <w:wordWrap/>
              <w:overflowPunct/>
              <w:topLinePunct w:val="0"/>
              <w:autoSpaceDE/>
              <w:autoSpaceDN/>
              <w:bidi w:val="0"/>
              <w:adjustRightInd w:val="0"/>
              <w:snapToGrid w:val="0"/>
              <w:spacing w:line="360" w:lineRule="auto"/>
              <w:ind w:left="0"/>
              <w:jc w:val="center"/>
              <w:textAlignment w:val="auto"/>
              <w:rPr>
                <w:rFonts w:hint="default" w:ascii="Times New Roman" w:hAnsi="Times New Roman" w:eastAsia="黑体" w:cs="Times New Roman"/>
              </w:rPr>
            </w:pPr>
            <w:r>
              <w:rPr>
                <w:rFonts w:hint="default" w:ascii="Times New Roman" w:hAnsi="Times New Roman" w:eastAsia="黑体" w:cs="Times New Roman"/>
              </w:rPr>
              <w:t>表</w:t>
            </w:r>
            <w:r>
              <w:rPr>
                <w:rFonts w:hint="eastAsia" w:eastAsia="黑体" w:cs="Times New Roman"/>
                <w:lang w:val="en-US" w:eastAsia="zh-CN"/>
              </w:rPr>
              <w:t>1</w:t>
            </w:r>
            <w:r>
              <w:rPr>
                <w:rFonts w:hint="default" w:ascii="Times New Roman" w:hAnsi="Times New Roman" w:eastAsia="黑体" w:cs="Times New Roman"/>
              </w:rPr>
              <w:t xml:space="preserve">  项目建设情况一览表</w:t>
            </w:r>
          </w:p>
          <w:tbl>
            <w:tblPr>
              <w:tblStyle w:val="37"/>
              <w:tblW w:w="87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750"/>
              <w:gridCol w:w="1074"/>
              <w:gridCol w:w="1414"/>
              <w:gridCol w:w="3546"/>
              <w:gridCol w:w="19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6" w:hRule="atLeast"/>
                <w:jc w:val="center"/>
              </w:trPr>
              <w:tc>
                <w:tcPr>
                  <w:tcW w:w="750" w:type="dxa"/>
                  <w:noWrap w:val="0"/>
                  <w:tcMar>
                    <w:top w:w="0" w:type="dxa"/>
                    <w:left w:w="57" w:type="dxa"/>
                    <w:bottom w:w="0" w:type="dxa"/>
                    <w:right w:w="57" w:type="dxa"/>
                  </w:tcMar>
                  <w:vAlign w:val="center"/>
                </w:tcPr>
                <w:p>
                  <w:pPr>
                    <w:autoSpaceDN w:val="0"/>
                    <w:spacing w:line="300" w:lineRule="exact"/>
                    <w:jc w:val="center"/>
                    <w:textAlignment w:val="baseline"/>
                    <w:rPr>
                      <w:rFonts w:hint="default" w:ascii="Times New Roman" w:hAnsi="Times New Roman" w:cs="Times New Roman"/>
                      <w:color w:val="auto"/>
                    </w:rPr>
                  </w:pPr>
                  <w:r>
                    <w:rPr>
                      <w:rFonts w:hint="default" w:ascii="Times New Roman" w:hAnsi="Times New Roman" w:cs="Times New Roman"/>
                      <w:color w:val="auto"/>
                    </w:rPr>
                    <w:t>序号</w:t>
                  </w:r>
                </w:p>
              </w:tc>
              <w:tc>
                <w:tcPr>
                  <w:tcW w:w="1074" w:type="dxa"/>
                  <w:noWrap w:val="0"/>
                  <w:tcMar>
                    <w:top w:w="0" w:type="dxa"/>
                    <w:left w:w="57" w:type="dxa"/>
                    <w:bottom w:w="0" w:type="dxa"/>
                    <w:right w:w="57" w:type="dxa"/>
                  </w:tcMar>
                  <w:vAlign w:val="center"/>
                </w:tcPr>
                <w:p>
                  <w:pPr>
                    <w:autoSpaceDN w:val="0"/>
                    <w:spacing w:line="300" w:lineRule="exact"/>
                    <w:jc w:val="center"/>
                    <w:textAlignment w:val="baseline"/>
                    <w:rPr>
                      <w:rFonts w:hint="default" w:ascii="Times New Roman" w:hAnsi="Times New Roman" w:cs="Times New Roman"/>
                      <w:color w:val="auto"/>
                    </w:rPr>
                  </w:pPr>
                  <w:r>
                    <w:rPr>
                      <w:rFonts w:hint="default" w:ascii="Times New Roman" w:hAnsi="Times New Roman" w:cs="Times New Roman"/>
                      <w:color w:val="auto"/>
                    </w:rPr>
                    <w:t>工程类别</w:t>
                  </w:r>
                </w:p>
              </w:tc>
              <w:tc>
                <w:tcPr>
                  <w:tcW w:w="1414" w:type="dxa"/>
                  <w:noWrap w:val="0"/>
                  <w:tcMar>
                    <w:top w:w="0" w:type="dxa"/>
                    <w:left w:w="57" w:type="dxa"/>
                    <w:bottom w:w="0" w:type="dxa"/>
                    <w:right w:w="57" w:type="dxa"/>
                  </w:tcMar>
                  <w:vAlign w:val="center"/>
                </w:tcPr>
                <w:p>
                  <w:pPr>
                    <w:autoSpaceDN w:val="0"/>
                    <w:spacing w:line="300" w:lineRule="exact"/>
                    <w:jc w:val="center"/>
                    <w:textAlignment w:val="baseline"/>
                    <w:rPr>
                      <w:rFonts w:hint="default" w:ascii="Times New Roman" w:hAnsi="Times New Roman" w:cs="Times New Roman"/>
                      <w:color w:val="auto"/>
                    </w:rPr>
                  </w:pPr>
                  <w:r>
                    <w:rPr>
                      <w:rFonts w:hint="default" w:ascii="Times New Roman" w:hAnsi="Times New Roman" w:cs="Times New Roman"/>
                      <w:color w:val="auto"/>
                    </w:rPr>
                    <w:t>工程名称</w:t>
                  </w:r>
                </w:p>
              </w:tc>
              <w:tc>
                <w:tcPr>
                  <w:tcW w:w="3546" w:type="dxa"/>
                  <w:noWrap w:val="0"/>
                  <w:tcMar>
                    <w:top w:w="0" w:type="dxa"/>
                    <w:left w:w="57" w:type="dxa"/>
                    <w:bottom w:w="0" w:type="dxa"/>
                    <w:right w:w="57" w:type="dxa"/>
                  </w:tcMar>
                  <w:vAlign w:val="center"/>
                </w:tcPr>
                <w:p>
                  <w:pPr>
                    <w:autoSpaceDN w:val="0"/>
                    <w:spacing w:line="300" w:lineRule="exact"/>
                    <w:jc w:val="center"/>
                    <w:textAlignment w:val="baseline"/>
                    <w:rPr>
                      <w:rFonts w:hint="default" w:ascii="Times New Roman" w:hAnsi="Times New Roman" w:eastAsia="宋体" w:cs="Times New Roman"/>
                      <w:color w:val="auto"/>
                      <w:lang w:val="en-US" w:eastAsia="zh-CN"/>
                    </w:rPr>
                  </w:pPr>
                  <w:r>
                    <w:rPr>
                      <w:rFonts w:hint="default" w:ascii="Times New Roman" w:hAnsi="Times New Roman" w:cs="Times New Roman"/>
                      <w:color w:val="auto"/>
                      <w:lang w:val="en-US" w:eastAsia="zh-CN"/>
                    </w:rPr>
                    <w:t>规模</w:t>
                  </w:r>
                </w:p>
              </w:tc>
              <w:tc>
                <w:tcPr>
                  <w:tcW w:w="1981" w:type="dxa"/>
                  <w:noWrap w:val="0"/>
                  <w:tcMar>
                    <w:top w:w="0" w:type="dxa"/>
                    <w:left w:w="57" w:type="dxa"/>
                    <w:bottom w:w="0" w:type="dxa"/>
                    <w:right w:w="57" w:type="dxa"/>
                  </w:tcMar>
                  <w:vAlign w:val="center"/>
                </w:tcPr>
                <w:p>
                  <w:pPr>
                    <w:autoSpaceDN w:val="0"/>
                    <w:spacing w:line="300" w:lineRule="exact"/>
                    <w:jc w:val="center"/>
                    <w:textAlignment w:val="baseline"/>
                    <w:rPr>
                      <w:rFonts w:hint="default" w:ascii="Times New Roman" w:hAnsi="Times New Roman" w:cs="Times New Roman"/>
                      <w:color w:val="auto"/>
                    </w:rPr>
                  </w:pPr>
                  <w:r>
                    <w:rPr>
                      <w:rFonts w:hint="default" w:ascii="Times New Roman" w:hAnsi="Times New Roman" w:cs="Times New Roman"/>
                      <w:color w:val="auto"/>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8" w:hRule="atLeast"/>
                <w:jc w:val="center"/>
              </w:trPr>
              <w:tc>
                <w:tcPr>
                  <w:tcW w:w="750" w:type="dxa"/>
                  <w:noWrap w:val="0"/>
                  <w:tcMar>
                    <w:top w:w="0" w:type="dxa"/>
                    <w:left w:w="57" w:type="dxa"/>
                    <w:bottom w:w="0" w:type="dxa"/>
                    <w:right w:w="57" w:type="dxa"/>
                  </w:tcMar>
                  <w:vAlign w:val="center"/>
                </w:tcPr>
                <w:p>
                  <w:pPr>
                    <w:autoSpaceDN w:val="0"/>
                    <w:spacing w:line="300" w:lineRule="exact"/>
                    <w:jc w:val="center"/>
                    <w:textAlignment w:val="baseline"/>
                    <w:rPr>
                      <w:rFonts w:hint="default" w:ascii="Times New Roman" w:hAnsi="Times New Roman" w:cs="Times New Roman"/>
                      <w:color w:val="auto"/>
                    </w:rPr>
                  </w:pPr>
                  <w:r>
                    <w:rPr>
                      <w:rFonts w:hint="default" w:ascii="Times New Roman" w:hAnsi="Times New Roman" w:cs="Times New Roman"/>
                      <w:color w:val="auto"/>
                    </w:rPr>
                    <w:t>1</w:t>
                  </w:r>
                </w:p>
              </w:tc>
              <w:tc>
                <w:tcPr>
                  <w:tcW w:w="1074" w:type="dxa"/>
                  <w:noWrap w:val="0"/>
                  <w:tcMar>
                    <w:top w:w="0" w:type="dxa"/>
                    <w:left w:w="57" w:type="dxa"/>
                    <w:bottom w:w="0" w:type="dxa"/>
                    <w:right w:w="57" w:type="dxa"/>
                  </w:tcMar>
                  <w:vAlign w:val="center"/>
                </w:tcPr>
                <w:p>
                  <w:pPr>
                    <w:autoSpaceDN w:val="0"/>
                    <w:spacing w:line="300" w:lineRule="exact"/>
                    <w:jc w:val="center"/>
                    <w:textAlignment w:val="baseline"/>
                    <w:rPr>
                      <w:rFonts w:hint="default" w:ascii="Times New Roman" w:hAnsi="Times New Roman" w:cs="Times New Roman"/>
                      <w:color w:val="auto"/>
                    </w:rPr>
                  </w:pPr>
                  <w:r>
                    <w:rPr>
                      <w:rFonts w:hint="default" w:ascii="Times New Roman" w:hAnsi="Times New Roman" w:cs="Times New Roman"/>
                      <w:color w:val="auto"/>
                    </w:rPr>
                    <w:t>主体工程</w:t>
                  </w:r>
                </w:p>
              </w:tc>
              <w:tc>
                <w:tcPr>
                  <w:tcW w:w="1414" w:type="dxa"/>
                  <w:noWrap w:val="0"/>
                  <w:tcMar>
                    <w:top w:w="0" w:type="dxa"/>
                    <w:left w:w="57" w:type="dxa"/>
                    <w:bottom w:w="0" w:type="dxa"/>
                    <w:right w:w="57" w:type="dxa"/>
                  </w:tcMar>
                  <w:vAlign w:val="center"/>
                </w:tcPr>
                <w:p>
                  <w:pPr>
                    <w:autoSpaceDN w:val="0"/>
                    <w:spacing w:line="300" w:lineRule="exact"/>
                    <w:jc w:val="center"/>
                    <w:textAlignment w:val="baseline"/>
                    <w:rPr>
                      <w:rFonts w:hint="default" w:ascii="Times New Roman" w:hAnsi="Times New Roman" w:cs="Times New Roman"/>
                      <w:color w:val="auto"/>
                      <w:lang w:val="en-US" w:eastAsia="zh-CN"/>
                    </w:rPr>
                  </w:pPr>
                  <w:r>
                    <w:rPr>
                      <w:rFonts w:hint="eastAsia" w:cs="Times New Roman"/>
                      <w:color w:val="auto"/>
                      <w:lang w:val="en-US" w:eastAsia="zh-CN"/>
                    </w:rPr>
                    <w:t>生产车间</w:t>
                  </w:r>
                </w:p>
              </w:tc>
              <w:tc>
                <w:tcPr>
                  <w:tcW w:w="3546" w:type="dxa"/>
                  <w:noWrap w:val="0"/>
                  <w:tcMar>
                    <w:top w:w="0" w:type="dxa"/>
                    <w:left w:w="57" w:type="dxa"/>
                    <w:bottom w:w="0" w:type="dxa"/>
                    <w:right w:w="57" w:type="dxa"/>
                  </w:tcMar>
                  <w:vAlign w:val="center"/>
                </w:tcPr>
                <w:p>
                  <w:pPr>
                    <w:autoSpaceDN w:val="0"/>
                    <w:spacing w:line="300" w:lineRule="exact"/>
                    <w:jc w:val="center"/>
                    <w:textAlignment w:val="baseline"/>
                    <w:rPr>
                      <w:rFonts w:hint="default" w:ascii="Times New Roman" w:hAnsi="Times New Roman" w:cs="Times New Roman"/>
                      <w:color w:val="auto"/>
                      <w:lang w:val="en-US" w:eastAsia="zh-CN"/>
                    </w:rPr>
                  </w:pPr>
                  <w:r>
                    <w:rPr>
                      <w:rFonts w:hint="eastAsia" w:cs="Times New Roman"/>
                      <w:color w:val="auto"/>
                      <w:szCs w:val="22"/>
                      <w:lang w:val="en-US" w:eastAsia="zh-CN"/>
                    </w:rPr>
                    <w:t>1层，建筑面积为1653m</w:t>
                  </w:r>
                  <w:r>
                    <w:rPr>
                      <w:rFonts w:hint="eastAsia" w:cs="Times New Roman"/>
                      <w:color w:val="auto"/>
                      <w:szCs w:val="22"/>
                      <w:vertAlign w:val="superscript"/>
                      <w:lang w:val="en-US" w:eastAsia="zh-CN"/>
                    </w:rPr>
                    <w:t>2</w:t>
                  </w:r>
                  <w:r>
                    <w:rPr>
                      <w:rFonts w:hint="eastAsia" w:cs="Times New Roman"/>
                      <w:color w:val="auto"/>
                      <w:szCs w:val="22"/>
                      <w:lang w:val="en-US" w:eastAsia="zh-CN"/>
                    </w:rPr>
                    <w:t>，高度5.1m</w:t>
                  </w:r>
                </w:p>
              </w:tc>
              <w:tc>
                <w:tcPr>
                  <w:tcW w:w="1981" w:type="dxa"/>
                  <w:noWrap w:val="0"/>
                  <w:tcMar>
                    <w:top w:w="0" w:type="dxa"/>
                    <w:left w:w="57" w:type="dxa"/>
                    <w:bottom w:w="0" w:type="dxa"/>
                    <w:right w:w="57" w:type="dxa"/>
                  </w:tcMar>
                  <w:vAlign w:val="center"/>
                </w:tcPr>
                <w:p>
                  <w:pPr>
                    <w:autoSpaceDN w:val="0"/>
                    <w:spacing w:line="300" w:lineRule="exact"/>
                    <w:jc w:val="center"/>
                    <w:textAlignment w:val="baseline"/>
                    <w:rPr>
                      <w:rFonts w:hint="default" w:ascii="Times New Roman" w:hAnsi="Times New Roman" w:cs="Times New Roman"/>
                      <w:color w:val="auto"/>
                      <w:lang w:val="en-US" w:eastAsia="zh-CN"/>
                    </w:rPr>
                  </w:pPr>
                  <w:r>
                    <w:rPr>
                      <w:rFonts w:hint="eastAsia" w:cs="Times New Roman"/>
                      <w:color w:val="auto"/>
                      <w:lang w:val="en-US" w:eastAsia="zh-CN"/>
                    </w:rPr>
                    <w:t>包括清洗间、提取间、水处理间及原料保鲜仓库、成品库等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16" w:hRule="atLeast"/>
                <w:jc w:val="center"/>
              </w:trPr>
              <w:tc>
                <w:tcPr>
                  <w:tcW w:w="750" w:type="dxa"/>
                  <w:noWrap w:val="0"/>
                  <w:tcMar>
                    <w:top w:w="0" w:type="dxa"/>
                    <w:left w:w="57" w:type="dxa"/>
                    <w:bottom w:w="0" w:type="dxa"/>
                    <w:right w:w="57" w:type="dxa"/>
                  </w:tcMar>
                  <w:vAlign w:val="center"/>
                </w:tcPr>
                <w:p>
                  <w:pPr>
                    <w:autoSpaceDN w:val="0"/>
                    <w:spacing w:line="300" w:lineRule="exact"/>
                    <w:jc w:val="center"/>
                    <w:textAlignment w:val="baseline"/>
                    <w:rPr>
                      <w:rFonts w:hint="default" w:ascii="Times New Roman" w:hAnsi="Times New Roman" w:cs="Times New Roman"/>
                      <w:color w:val="auto"/>
                    </w:rPr>
                  </w:pPr>
                  <w:r>
                    <w:rPr>
                      <w:rFonts w:hint="default" w:ascii="Times New Roman" w:hAnsi="Times New Roman" w:cs="Times New Roman"/>
                      <w:color w:val="auto"/>
                      <w:lang w:val="en-US" w:eastAsia="zh-CN"/>
                    </w:rPr>
                    <w:t>2</w:t>
                  </w:r>
                </w:p>
              </w:tc>
              <w:tc>
                <w:tcPr>
                  <w:tcW w:w="1074" w:type="dxa"/>
                  <w:noWrap w:val="0"/>
                  <w:tcMar>
                    <w:top w:w="0" w:type="dxa"/>
                    <w:left w:w="57" w:type="dxa"/>
                    <w:bottom w:w="0" w:type="dxa"/>
                    <w:right w:w="57" w:type="dxa"/>
                  </w:tcMar>
                  <w:vAlign w:val="center"/>
                </w:tcPr>
                <w:p>
                  <w:pPr>
                    <w:autoSpaceDN w:val="0"/>
                    <w:spacing w:line="300" w:lineRule="exact"/>
                    <w:jc w:val="center"/>
                    <w:textAlignment w:val="baseline"/>
                    <w:rPr>
                      <w:rFonts w:hint="default" w:ascii="Times New Roman" w:hAnsi="Times New Roman" w:eastAsia="宋体" w:cs="Times New Roman"/>
                      <w:color w:val="auto"/>
                      <w:lang w:val="en-US" w:eastAsia="zh-CN"/>
                    </w:rPr>
                  </w:pPr>
                  <w:r>
                    <w:rPr>
                      <w:rFonts w:hint="default" w:ascii="Times New Roman" w:hAnsi="Times New Roman" w:cs="Times New Roman"/>
                      <w:color w:val="auto"/>
                      <w:lang w:val="en-US" w:eastAsia="zh-CN"/>
                    </w:rPr>
                    <w:t>辅助工程</w:t>
                  </w:r>
                </w:p>
              </w:tc>
              <w:tc>
                <w:tcPr>
                  <w:tcW w:w="1414" w:type="dxa"/>
                  <w:noWrap w:val="0"/>
                  <w:tcMar>
                    <w:top w:w="0" w:type="dxa"/>
                    <w:left w:w="57" w:type="dxa"/>
                    <w:bottom w:w="0" w:type="dxa"/>
                    <w:right w:w="57" w:type="dxa"/>
                  </w:tcMar>
                  <w:vAlign w:val="center"/>
                </w:tcPr>
                <w:p>
                  <w:pPr>
                    <w:autoSpaceDN w:val="0"/>
                    <w:spacing w:line="300" w:lineRule="exact"/>
                    <w:jc w:val="center"/>
                    <w:textAlignment w:val="baseline"/>
                    <w:rPr>
                      <w:rFonts w:hint="default" w:ascii="Times New Roman" w:hAnsi="Times New Roman" w:cs="Times New Roman"/>
                      <w:color w:val="auto"/>
                      <w:lang w:val="en-US" w:eastAsia="zh-CN"/>
                    </w:rPr>
                  </w:pPr>
                  <w:r>
                    <w:rPr>
                      <w:rFonts w:hint="eastAsia" w:ascii="Times New Roman" w:hAnsi="Times New Roman" w:cs="Times New Roman"/>
                      <w:color w:val="auto"/>
                      <w:lang w:val="en-US" w:eastAsia="zh-CN"/>
                    </w:rPr>
                    <w:t>办公楼</w:t>
                  </w:r>
                </w:p>
              </w:tc>
              <w:tc>
                <w:tcPr>
                  <w:tcW w:w="3546" w:type="dxa"/>
                  <w:noWrap w:val="0"/>
                  <w:tcMar>
                    <w:top w:w="0" w:type="dxa"/>
                    <w:left w:w="57" w:type="dxa"/>
                    <w:bottom w:w="0" w:type="dxa"/>
                    <w:right w:w="57" w:type="dxa"/>
                  </w:tcMar>
                  <w:vAlign w:val="center"/>
                </w:tcPr>
                <w:p>
                  <w:pPr>
                    <w:autoSpaceDN w:val="0"/>
                    <w:spacing w:line="300" w:lineRule="exact"/>
                    <w:jc w:val="center"/>
                    <w:textAlignment w:val="baseline"/>
                    <w:rPr>
                      <w:rFonts w:hint="default" w:ascii="Times New Roman" w:hAnsi="Times New Roman" w:cs="Times New Roman"/>
                      <w:color w:val="auto"/>
                      <w:lang w:val="en-US" w:eastAsia="zh-CN"/>
                    </w:rPr>
                  </w:pPr>
                  <w:r>
                    <w:rPr>
                      <w:rFonts w:hint="eastAsia" w:cs="Times New Roman"/>
                      <w:color w:val="auto"/>
                      <w:lang w:val="en-US" w:eastAsia="zh-CN"/>
                    </w:rPr>
                    <w:t>4</w:t>
                  </w:r>
                  <w:r>
                    <w:rPr>
                      <w:rFonts w:hint="eastAsia" w:ascii="Times New Roman" w:hAnsi="Times New Roman" w:cs="Times New Roman"/>
                      <w:color w:val="auto"/>
                      <w:lang w:val="en-US" w:eastAsia="zh-CN"/>
                    </w:rPr>
                    <w:t>层，</w:t>
                  </w:r>
                  <w:r>
                    <w:rPr>
                      <w:rFonts w:hint="eastAsia" w:cs="Times New Roman"/>
                      <w:color w:val="auto"/>
                      <w:lang w:val="en-US" w:eastAsia="zh-CN"/>
                    </w:rPr>
                    <w:t>建筑</w:t>
                  </w:r>
                  <w:r>
                    <w:rPr>
                      <w:rFonts w:hint="eastAsia" w:ascii="Times New Roman" w:hAnsi="Times New Roman" w:cs="Times New Roman"/>
                      <w:color w:val="auto"/>
                      <w:lang w:val="en-US" w:eastAsia="zh-CN"/>
                    </w:rPr>
                    <w:t>面积</w:t>
                  </w:r>
                  <w:r>
                    <w:rPr>
                      <w:rFonts w:hint="eastAsia" w:cs="Times New Roman"/>
                      <w:color w:val="auto"/>
                      <w:lang w:val="en-US" w:eastAsia="zh-CN"/>
                    </w:rPr>
                    <w:t>为15</w:t>
                  </w:r>
                  <w:r>
                    <w:rPr>
                      <w:rFonts w:hint="eastAsia" w:ascii="Times New Roman" w:hAnsi="Times New Roman" w:cs="Times New Roman"/>
                      <w:color w:val="auto"/>
                      <w:lang w:val="en-US" w:eastAsia="zh-CN"/>
                    </w:rPr>
                    <w:t>00</w:t>
                  </w:r>
                  <w:r>
                    <w:rPr>
                      <w:rFonts w:hint="default" w:ascii="Times New Roman" w:hAnsi="Times New Roman" w:cs="Times New Roman"/>
                      <w:color w:val="auto"/>
                    </w:rPr>
                    <w:t>m</w:t>
                  </w:r>
                  <w:r>
                    <w:rPr>
                      <w:rFonts w:hint="default" w:ascii="Times New Roman" w:hAnsi="Times New Roman" w:cs="Times New Roman"/>
                      <w:color w:val="auto"/>
                      <w:vertAlign w:val="superscript"/>
                    </w:rPr>
                    <w:t>2</w:t>
                  </w:r>
                </w:p>
              </w:tc>
              <w:tc>
                <w:tcPr>
                  <w:tcW w:w="1981" w:type="dxa"/>
                  <w:noWrap w:val="0"/>
                  <w:tcMar>
                    <w:top w:w="0" w:type="dxa"/>
                    <w:left w:w="57" w:type="dxa"/>
                    <w:bottom w:w="0" w:type="dxa"/>
                    <w:right w:w="57" w:type="dxa"/>
                  </w:tcMar>
                  <w:vAlign w:val="center"/>
                </w:tcPr>
                <w:p>
                  <w:pPr>
                    <w:autoSpaceDN w:val="0"/>
                    <w:spacing w:line="300" w:lineRule="exact"/>
                    <w:jc w:val="center"/>
                    <w:textAlignment w:val="baseline"/>
                    <w:rPr>
                      <w:rFonts w:hint="default" w:ascii="Times New Roman" w:hAnsi="Times New Roman" w:cs="Times New Roman"/>
                      <w:color w:val="auto"/>
                      <w:lang w:val="en-US" w:eastAsia="zh-CN"/>
                    </w:rPr>
                  </w:pPr>
                  <w:r>
                    <w:rPr>
                      <w:rFonts w:hint="eastAsia" w:cs="Times New Roman"/>
                      <w:color w:val="auto"/>
                      <w:lang w:val="en-US" w:eastAsia="zh-CN"/>
                    </w:rPr>
                    <w:t>办公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14" w:hRule="atLeast"/>
                <w:jc w:val="center"/>
              </w:trPr>
              <w:tc>
                <w:tcPr>
                  <w:tcW w:w="750" w:type="dxa"/>
                  <w:vMerge w:val="restart"/>
                  <w:noWrap w:val="0"/>
                  <w:tcMar>
                    <w:top w:w="0" w:type="dxa"/>
                    <w:left w:w="57" w:type="dxa"/>
                    <w:bottom w:w="0" w:type="dxa"/>
                    <w:right w:w="57" w:type="dxa"/>
                  </w:tcMar>
                  <w:vAlign w:val="center"/>
                </w:tcPr>
                <w:p>
                  <w:pPr>
                    <w:autoSpaceDN w:val="0"/>
                    <w:spacing w:line="300" w:lineRule="exact"/>
                    <w:jc w:val="center"/>
                    <w:textAlignment w:val="baseline"/>
                    <w:rPr>
                      <w:rFonts w:hint="default" w:ascii="Times New Roman" w:hAnsi="Times New Roman" w:eastAsia="宋体" w:cs="Times New Roman"/>
                      <w:color w:val="auto"/>
                      <w:lang w:val="en-US" w:eastAsia="zh-CN"/>
                    </w:rPr>
                  </w:pPr>
                  <w:r>
                    <w:rPr>
                      <w:rFonts w:hint="default" w:ascii="Times New Roman" w:hAnsi="Times New Roman" w:cs="Times New Roman"/>
                      <w:color w:val="auto"/>
                      <w:lang w:val="en-US" w:eastAsia="zh-CN"/>
                    </w:rPr>
                    <w:t>3</w:t>
                  </w:r>
                </w:p>
              </w:tc>
              <w:tc>
                <w:tcPr>
                  <w:tcW w:w="1074" w:type="dxa"/>
                  <w:vMerge w:val="restart"/>
                  <w:noWrap w:val="0"/>
                  <w:tcMar>
                    <w:top w:w="0" w:type="dxa"/>
                    <w:left w:w="57" w:type="dxa"/>
                    <w:bottom w:w="0" w:type="dxa"/>
                    <w:right w:w="57" w:type="dxa"/>
                  </w:tcMar>
                  <w:vAlign w:val="center"/>
                </w:tcPr>
                <w:p>
                  <w:pPr>
                    <w:autoSpaceDN w:val="0"/>
                    <w:spacing w:line="300" w:lineRule="exact"/>
                    <w:jc w:val="center"/>
                    <w:textAlignment w:val="baseline"/>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公用工程</w:t>
                  </w:r>
                </w:p>
              </w:tc>
              <w:tc>
                <w:tcPr>
                  <w:tcW w:w="1414" w:type="dxa"/>
                  <w:noWrap w:val="0"/>
                  <w:tcMar>
                    <w:top w:w="0" w:type="dxa"/>
                    <w:left w:w="57" w:type="dxa"/>
                    <w:bottom w:w="0" w:type="dxa"/>
                    <w:right w:w="57" w:type="dxa"/>
                  </w:tcMar>
                  <w:vAlign w:val="center"/>
                </w:tcPr>
                <w:p>
                  <w:pPr>
                    <w:adjustRightInd w:val="0"/>
                    <w:jc w:val="center"/>
                    <w:rPr>
                      <w:rFonts w:hint="default" w:ascii="Times New Roman" w:hAnsi="Times New Roman" w:cs="Times New Roman"/>
                      <w:color w:val="auto"/>
                      <w:kern w:val="2"/>
                      <w:sz w:val="21"/>
                      <w:szCs w:val="21"/>
                      <w:lang w:val="en-US" w:eastAsia="zh-CN" w:bidi="ar-SA"/>
                    </w:rPr>
                  </w:pPr>
                  <w:r>
                    <w:rPr>
                      <w:rFonts w:hint="default" w:ascii="Times New Roman" w:hAnsi="Times New Roman" w:cs="Times New Roman"/>
                      <w:color w:val="auto"/>
                      <w:sz w:val="21"/>
                      <w:szCs w:val="21"/>
                    </w:rPr>
                    <w:t>供水</w:t>
                  </w:r>
                </w:p>
              </w:tc>
              <w:tc>
                <w:tcPr>
                  <w:tcW w:w="3546" w:type="dxa"/>
                  <w:noWrap w:val="0"/>
                  <w:tcMar>
                    <w:top w:w="0" w:type="dxa"/>
                    <w:left w:w="57" w:type="dxa"/>
                    <w:bottom w:w="0" w:type="dxa"/>
                    <w:right w:w="57" w:type="dxa"/>
                  </w:tcMar>
                  <w:vAlign w:val="center"/>
                </w:tcPr>
                <w:p>
                  <w:pPr>
                    <w:adjustRightInd w:val="0"/>
                    <w:jc w:val="left"/>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rPr>
                    <w:t>由西海岸新区自来水公司供水</w:t>
                  </w:r>
                  <w:r>
                    <w:rPr>
                      <w:rFonts w:hint="default" w:ascii="Times New Roman" w:hAnsi="Times New Roman" w:cs="Times New Roman"/>
                      <w:color w:val="auto"/>
                      <w:sz w:val="21"/>
                      <w:szCs w:val="21"/>
                      <w:lang w:eastAsia="zh-CN"/>
                    </w:rPr>
                    <w:t>，</w:t>
                  </w:r>
                  <w:r>
                    <w:rPr>
                      <w:rFonts w:hint="default" w:ascii="Times New Roman" w:hAnsi="Times New Roman" w:cs="Times New Roman"/>
                      <w:color w:val="auto"/>
                      <w:sz w:val="21"/>
                      <w:szCs w:val="21"/>
                      <w:lang w:val="en-US" w:eastAsia="zh-CN"/>
                    </w:rPr>
                    <w:t>新鲜水用量为</w:t>
                  </w:r>
                  <w:r>
                    <w:rPr>
                      <w:rFonts w:hint="eastAsia" w:cs="Times New Roman"/>
                      <w:color w:val="auto"/>
                      <w:sz w:val="21"/>
                      <w:szCs w:val="21"/>
                      <w:lang w:val="en-US" w:eastAsia="zh-CN"/>
                    </w:rPr>
                    <w:t>417.4</w:t>
                  </w:r>
                  <w:r>
                    <w:rPr>
                      <w:rFonts w:hint="default" w:ascii="Times New Roman" w:hAnsi="Times New Roman" w:cs="Times New Roman"/>
                      <w:color w:val="auto"/>
                      <w:sz w:val="21"/>
                      <w:szCs w:val="21"/>
                      <w:lang w:val="en-US" w:eastAsia="zh-CN"/>
                    </w:rPr>
                    <w:t>t/a。</w:t>
                  </w:r>
                </w:p>
              </w:tc>
              <w:tc>
                <w:tcPr>
                  <w:tcW w:w="1981" w:type="dxa"/>
                  <w:noWrap w:val="0"/>
                  <w:tcMar>
                    <w:top w:w="0" w:type="dxa"/>
                    <w:left w:w="57" w:type="dxa"/>
                    <w:bottom w:w="0" w:type="dxa"/>
                    <w:right w:w="57" w:type="dxa"/>
                  </w:tcMar>
                  <w:vAlign w:val="center"/>
                </w:tcPr>
                <w:p>
                  <w:pPr>
                    <w:autoSpaceDN w:val="0"/>
                    <w:spacing w:line="300" w:lineRule="exact"/>
                    <w:jc w:val="center"/>
                    <w:textAlignment w:val="baseline"/>
                    <w:rPr>
                      <w:rFonts w:hint="default" w:ascii="Times New Roman" w:hAnsi="Times New Roman" w:cs="Times New Roman"/>
                      <w:color w:val="auto"/>
                      <w:lang w:val="en-US" w:eastAsia="zh-CN"/>
                    </w:rPr>
                  </w:pPr>
                  <w:r>
                    <w:rPr>
                      <w:rFonts w:hint="default" w:ascii="Times New Roman" w:hAnsi="Times New Roman" w:cs="Times New Roman"/>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7" w:hRule="atLeast"/>
                <w:jc w:val="center"/>
              </w:trPr>
              <w:tc>
                <w:tcPr>
                  <w:tcW w:w="750" w:type="dxa"/>
                  <w:vMerge w:val="continue"/>
                  <w:noWrap w:val="0"/>
                  <w:tcMar>
                    <w:top w:w="0" w:type="dxa"/>
                    <w:left w:w="57" w:type="dxa"/>
                    <w:bottom w:w="0" w:type="dxa"/>
                    <w:right w:w="57" w:type="dxa"/>
                  </w:tcMar>
                  <w:vAlign w:val="center"/>
                </w:tcPr>
                <w:p>
                  <w:pPr>
                    <w:autoSpaceDN w:val="0"/>
                    <w:spacing w:line="300" w:lineRule="exact"/>
                    <w:jc w:val="center"/>
                    <w:textAlignment w:val="baseline"/>
                    <w:rPr>
                      <w:rFonts w:hint="default" w:ascii="Times New Roman" w:hAnsi="Times New Roman" w:cs="Times New Roman"/>
                      <w:color w:val="auto"/>
                    </w:rPr>
                  </w:pPr>
                </w:p>
              </w:tc>
              <w:tc>
                <w:tcPr>
                  <w:tcW w:w="1074" w:type="dxa"/>
                  <w:vMerge w:val="continue"/>
                  <w:noWrap w:val="0"/>
                  <w:tcMar>
                    <w:top w:w="0" w:type="dxa"/>
                    <w:left w:w="57" w:type="dxa"/>
                    <w:bottom w:w="0" w:type="dxa"/>
                    <w:right w:w="57" w:type="dxa"/>
                  </w:tcMar>
                  <w:vAlign w:val="center"/>
                </w:tcPr>
                <w:p>
                  <w:pPr>
                    <w:autoSpaceDN w:val="0"/>
                    <w:spacing w:line="300" w:lineRule="exact"/>
                    <w:jc w:val="center"/>
                    <w:textAlignment w:val="baseline"/>
                    <w:rPr>
                      <w:rFonts w:hint="default" w:ascii="Times New Roman" w:hAnsi="Times New Roman" w:cs="Times New Roman"/>
                      <w:color w:val="auto"/>
                      <w:lang w:val="en-US" w:eastAsia="zh-CN"/>
                    </w:rPr>
                  </w:pPr>
                </w:p>
              </w:tc>
              <w:tc>
                <w:tcPr>
                  <w:tcW w:w="1414" w:type="dxa"/>
                  <w:noWrap w:val="0"/>
                  <w:tcMar>
                    <w:top w:w="0" w:type="dxa"/>
                    <w:left w:w="57" w:type="dxa"/>
                    <w:bottom w:w="0" w:type="dxa"/>
                    <w:right w:w="57" w:type="dxa"/>
                  </w:tcMar>
                  <w:vAlign w:val="center"/>
                </w:tcPr>
                <w:p>
                  <w:pPr>
                    <w:adjustRightInd w:val="0"/>
                    <w:jc w:val="center"/>
                    <w:rPr>
                      <w:rFonts w:hint="default" w:ascii="Times New Roman" w:hAnsi="Times New Roman" w:cs="Times New Roman"/>
                      <w:color w:val="auto"/>
                      <w:kern w:val="2"/>
                      <w:sz w:val="21"/>
                      <w:szCs w:val="21"/>
                      <w:lang w:val="en-US" w:eastAsia="zh-CN" w:bidi="ar-SA"/>
                    </w:rPr>
                  </w:pPr>
                  <w:r>
                    <w:rPr>
                      <w:rFonts w:hint="default" w:ascii="Times New Roman" w:hAnsi="Times New Roman" w:cs="Times New Roman"/>
                      <w:color w:val="auto"/>
                      <w:sz w:val="21"/>
                      <w:szCs w:val="21"/>
                    </w:rPr>
                    <w:t>供电</w:t>
                  </w:r>
                </w:p>
              </w:tc>
              <w:tc>
                <w:tcPr>
                  <w:tcW w:w="3546" w:type="dxa"/>
                  <w:noWrap w:val="0"/>
                  <w:tcMar>
                    <w:top w:w="0" w:type="dxa"/>
                    <w:left w:w="57" w:type="dxa"/>
                    <w:bottom w:w="0" w:type="dxa"/>
                    <w:right w:w="57" w:type="dxa"/>
                  </w:tcMar>
                  <w:vAlign w:val="center"/>
                </w:tcPr>
                <w:p>
                  <w:pPr>
                    <w:adjustRightInd w:val="0"/>
                    <w:jc w:val="left"/>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 w:val="21"/>
                      <w:szCs w:val="21"/>
                    </w:rPr>
                    <w:t>用电由西海岸新区电网提供</w:t>
                  </w:r>
                  <w:r>
                    <w:rPr>
                      <w:rFonts w:hint="default" w:ascii="Times New Roman" w:hAnsi="Times New Roman" w:cs="Times New Roman"/>
                      <w:color w:val="auto"/>
                      <w:sz w:val="21"/>
                      <w:szCs w:val="21"/>
                      <w:lang w:eastAsia="zh-CN"/>
                    </w:rPr>
                    <w:t>，</w:t>
                  </w:r>
                  <w:r>
                    <w:rPr>
                      <w:rFonts w:hint="default" w:ascii="Times New Roman" w:hAnsi="Times New Roman" w:cs="Times New Roman"/>
                      <w:color w:val="auto"/>
                      <w:sz w:val="21"/>
                      <w:szCs w:val="21"/>
                      <w:lang w:val="en-US" w:eastAsia="zh-CN"/>
                    </w:rPr>
                    <w:t>用电量为</w:t>
                  </w:r>
                  <w:r>
                    <w:rPr>
                      <w:rFonts w:hint="eastAsia" w:ascii="Times New Roman" w:hAnsi="Times New Roman" w:cs="Times New Roman"/>
                      <w:color w:val="auto"/>
                      <w:sz w:val="21"/>
                      <w:szCs w:val="21"/>
                      <w:lang w:val="en-US" w:eastAsia="zh-CN"/>
                    </w:rPr>
                    <w:t>7.5万度</w:t>
                  </w:r>
                  <w:r>
                    <w:rPr>
                      <w:rFonts w:hint="default" w:ascii="Times New Roman" w:hAnsi="Times New Roman" w:cs="Times New Roman"/>
                      <w:color w:val="auto"/>
                      <w:sz w:val="21"/>
                      <w:szCs w:val="21"/>
                      <w:lang w:val="en-US" w:eastAsia="zh-CN"/>
                    </w:rPr>
                    <w:t>/a</w:t>
                  </w:r>
                </w:p>
              </w:tc>
              <w:tc>
                <w:tcPr>
                  <w:tcW w:w="1981" w:type="dxa"/>
                  <w:noWrap w:val="0"/>
                  <w:tcMar>
                    <w:top w:w="0" w:type="dxa"/>
                    <w:left w:w="57" w:type="dxa"/>
                    <w:bottom w:w="0" w:type="dxa"/>
                    <w:right w:w="57" w:type="dxa"/>
                  </w:tcMar>
                  <w:vAlign w:val="center"/>
                </w:tcPr>
                <w:p>
                  <w:pPr>
                    <w:autoSpaceDN w:val="0"/>
                    <w:spacing w:line="300" w:lineRule="exact"/>
                    <w:jc w:val="center"/>
                    <w:textAlignment w:val="baseline"/>
                    <w:rPr>
                      <w:rFonts w:hint="default" w:ascii="Times New Roman" w:hAnsi="Times New Roman" w:cs="Times New Roman"/>
                      <w:color w:val="auto"/>
                      <w:lang w:val="en-US" w:eastAsia="zh-CN"/>
                    </w:rPr>
                  </w:pPr>
                  <w:r>
                    <w:rPr>
                      <w:rFonts w:hint="default" w:ascii="Times New Roman" w:hAnsi="Times New Roman" w:cs="Times New Roman"/>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7" w:hRule="atLeast"/>
                <w:jc w:val="center"/>
              </w:trPr>
              <w:tc>
                <w:tcPr>
                  <w:tcW w:w="750" w:type="dxa"/>
                  <w:vMerge w:val="continue"/>
                  <w:noWrap w:val="0"/>
                  <w:tcMar>
                    <w:top w:w="0" w:type="dxa"/>
                    <w:left w:w="57" w:type="dxa"/>
                    <w:bottom w:w="0" w:type="dxa"/>
                    <w:right w:w="57" w:type="dxa"/>
                  </w:tcMar>
                  <w:vAlign w:val="center"/>
                </w:tcPr>
                <w:p>
                  <w:pPr>
                    <w:autoSpaceDN w:val="0"/>
                    <w:spacing w:line="300" w:lineRule="exact"/>
                    <w:jc w:val="center"/>
                    <w:textAlignment w:val="baseline"/>
                    <w:rPr>
                      <w:rFonts w:hint="default" w:ascii="Times New Roman" w:hAnsi="Times New Roman" w:cs="Times New Roman"/>
                      <w:color w:val="auto"/>
                    </w:rPr>
                  </w:pPr>
                </w:p>
              </w:tc>
              <w:tc>
                <w:tcPr>
                  <w:tcW w:w="1074" w:type="dxa"/>
                  <w:vMerge w:val="continue"/>
                  <w:noWrap w:val="0"/>
                  <w:tcMar>
                    <w:top w:w="0" w:type="dxa"/>
                    <w:left w:w="57" w:type="dxa"/>
                    <w:bottom w:w="0" w:type="dxa"/>
                    <w:right w:w="57" w:type="dxa"/>
                  </w:tcMar>
                  <w:vAlign w:val="center"/>
                </w:tcPr>
                <w:p>
                  <w:pPr>
                    <w:autoSpaceDN w:val="0"/>
                    <w:spacing w:line="300" w:lineRule="exact"/>
                    <w:jc w:val="center"/>
                    <w:textAlignment w:val="baseline"/>
                    <w:rPr>
                      <w:rFonts w:hint="default" w:ascii="Times New Roman" w:hAnsi="Times New Roman" w:cs="Times New Roman"/>
                      <w:color w:val="auto"/>
                      <w:lang w:val="en-US" w:eastAsia="zh-CN"/>
                    </w:rPr>
                  </w:pPr>
                </w:p>
              </w:tc>
              <w:tc>
                <w:tcPr>
                  <w:tcW w:w="1414" w:type="dxa"/>
                  <w:noWrap w:val="0"/>
                  <w:tcMar>
                    <w:top w:w="0" w:type="dxa"/>
                    <w:left w:w="57" w:type="dxa"/>
                    <w:bottom w:w="0" w:type="dxa"/>
                    <w:right w:w="57" w:type="dxa"/>
                  </w:tcMar>
                  <w:vAlign w:val="center"/>
                </w:tcPr>
                <w:p>
                  <w:pPr>
                    <w:adjustRightInd w:val="0"/>
                    <w:jc w:val="center"/>
                    <w:rPr>
                      <w:rFonts w:hint="eastAsia"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供热</w:t>
                  </w:r>
                </w:p>
              </w:tc>
              <w:tc>
                <w:tcPr>
                  <w:tcW w:w="3546" w:type="dxa"/>
                  <w:noWrap w:val="0"/>
                  <w:tcMar>
                    <w:top w:w="0" w:type="dxa"/>
                    <w:left w:w="57" w:type="dxa"/>
                    <w:bottom w:w="0" w:type="dxa"/>
                    <w:right w:w="57" w:type="dxa"/>
                  </w:tcMar>
                  <w:vAlign w:val="center"/>
                </w:tcPr>
                <w:p>
                  <w:pPr>
                    <w:adjustRightInd w:val="0"/>
                    <w:jc w:val="left"/>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由电蒸汽发生器提供蒸汽，蒸汽用量为</w:t>
                  </w:r>
                  <w:r>
                    <w:rPr>
                      <w:rFonts w:hint="eastAsia" w:cs="Times New Roman"/>
                      <w:color w:val="auto"/>
                      <w:sz w:val="21"/>
                      <w:szCs w:val="21"/>
                      <w:highlight w:val="none"/>
                      <w:lang w:val="en-US" w:eastAsia="zh-CN"/>
                    </w:rPr>
                    <w:t>24t/a</w:t>
                  </w:r>
                </w:p>
              </w:tc>
              <w:tc>
                <w:tcPr>
                  <w:tcW w:w="1981" w:type="dxa"/>
                  <w:noWrap w:val="0"/>
                  <w:tcMar>
                    <w:top w:w="0" w:type="dxa"/>
                    <w:left w:w="57" w:type="dxa"/>
                    <w:bottom w:w="0" w:type="dxa"/>
                    <w:right w:w="57" w:type="dxa"/>
                  </w:tcMar>
                  <w:vAlign w:val="center"/>
                </w:tcPr>
                <w:p>
                  <w:pPr>
                    <w:autoSpaceDN w:val="0"/>
                    <w:spacing w:line="300" w:lineRule="exact"/>
                    <w:jc w:val="center"/>
                    <w:textAlignment w:val="baseline"/>
                    <w:rPr>
                      <w:rFonts w:hint="default" w:ascii="Times New Roman" w:hAnsi="Times New Roman" w:cs="Times New Roman"/>
                      <w:color w:val="auto"/>
                      <w:lang w:val="en-US" w:eastAsia="zh-CN"/>
                    </w:rPr>
                  </w:pPr>
                  <w:r>
                    <w:rPr>
                      <w:rFonts w:hint="default" w:ascii="Times New Roman" w:hAnsi="Times New Roman" w:cs="Times New Roman"/>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750" w:type="dxa"/>
                  <w:vMerge w:val="continue"/>
                  <w:noWrap w:val="0"/>
                  <w:tcMar>
                    <w:top w:w="0" w:type="dxa"/>
                    <w:left w:w="57" w:type="dxa"/>
                    <w:bottom w:w="0" w:type="dxa"/>
                    <w:right w:w="57" w:type="dxa"/>
                  </w:tcMar>
                  <w:vAlign w:val="center"/>
                </w:tcPr>
                <w:p>
                  <w:pPr>
                    <w:autoSpaceDN w:val="0"/>
                    <w:spacing w:line="300" w:lineRule="exact"/>
                    <w:jc w:val="center"/>
                    <w:textAlignment w:val="baseline"/>
                    <w:rPr>
                      <w:rFonts w:hint="default" w:ascii="Times New Roman" w:hAnsi="Times New Roman" w:cs="Times New Roman"/>
                      <w:color w:val="auto"/>
                    </w:rPr>
                  </w:pPr>
                </w:p>
              </w:tc>
              <w:tc>
                <w:tcPr>
                  <w:tcW w:w="1074" w:type="dxa"/>
                  <w:vMerge w:val="continue"/>
                  <w:noWrap w:val="0"/>
                  <w:tcMar>
                    <w:top w:w="0" w:type="dxa"/>
                    <w:left w:w="57" w:type="dxa"/>
                    <w:bottom w:w="0" w:type="dxa"/>
                    <w:right w:w="57" w:type="dxa"/>
                  </w:tcMar>
                  <w:vAlign w:val="center"/>
                </w:tcPr>
                <w:p>
                  <w:pPr>
                    <w:autoSpaceDN w:val="0"/>
                    <w:spacing w:line="300" w:lineRule="exact"/>
                    <w:jc w:val="center"/>
                    <w:textAlignment w:val="baseline"/>
                    <w:rPr>
                      <w:rFonts w:hint="default" w:ascii="Times New Roman" w:hAnsi="Times New Roman" w:cs="Times New Roman"/>
                      <w:color w:val="auto"/>
                      <w:lang w:val="en-US" w:eastAsia="zh-CN"/>
                    </w:rPr>
                  </w:pPr>
                </w:p>
              </w:tc>
              <w:tc>
                <w:tcPr>
                  <w:tcW w:w="1414" w:type="dxa"/>
                  <w:noWrap w:val="0"/>
                  <w:tcMar>
                    <w:top w:w="0" w:type="dxa"/>
                    <w:left w:w="57" w:type="dxa"/>
                    <w:bottom w:w="0" w:type="dxa"/>
                    <w:right w:w="57" w:type="dxa"/>
                  </w:tcMar>
                  <w:vAlign w:val="center"/>
                </w:tcPr>
                <w:p>
                  <w:pPr>
                    <w:adjustRightInd w:val="0"/>
                    <w:jc w:val="center"/>
                    <w:rPr>
                      <w:rFonts w:hint="default" w:cs="Times New Roman"/>
                      <w:color w:val="auto"/>
                      <w:sz w:val="21"/>
                      <w:szCs w:val="21"/>
                      <w:lang w:val="en-US" w:eastAsia="zh-CN"/>
                    </w:rPr>
                  </w:pPr>
                  <w:r>
                    <w:rPr>
                      <w:rFonts w:hint="eastAsia" w:cs="Times New Roman"/>
                      <w:color w:val="auto"/>
                      <w:sz w:val="21"/>
                      <w:szCs w:val="21"/>
                      <w:lang w:val="en-US" w:eastAsia="zh-CN"/>
                    </w:rPr>
                    <w:t>纯水</w:t>
                  </w:r>
                </w:p>
              </w:tc>
              <w:tc>
                <w:tcPr>
                  <w:tcW w:w="3546" w:type="dxa"/>
                  <w:noWrap w:val="0"/>
                  <w:tcMar>
                    <w:top w:w="0" w:type="dxa"/>
                    <w:left w:w="57" w:type="dxa"/>
                    <w:bottom w:w="0" w:type="dxa"/>
                    <w:right w:w="57" w:type="dxa"/>
                  </w:tcMar>
                  <w:vAlign w:val="center"/>
                </w:tcPr>
                <w:p>
                  <w:pPr>
                    <w:adjustRightInd w:val="0"/>
                    <w:jc w:val="left"/>
                    <w:rPr>
                      <w:rFonts w:hint="default" w:cs="Times New Roman"/>
                      <w:color w:val="auto"/>
                      <w:sz w:val="21"/>
                      <w:szCs w:val="21"/>
                      <w:lang w:val="en-US" w:eastAsia="zh-CN"/>
                    </w:rPr>
                  </w:pPr>
                  <w:r>
                    <w:rPr>
                      <w:rFonts w:hint="eastAsia" w:cs="Times New Roman"/>
                      <w:color w:val="auto"/>
                      <w:sz w:val="21"/>
                      <w:szCs w:val="21"/>
                      <w:lang w:val="en-US" w:eastAsia="zh-CN"/>
                    </w:rPr>
                    <w:t>纯水用量为92.4t/a，由出水能力为1套1t/h的RO反渗透设备处理。</w:t>
                  </w:r>
                </w:p>
              </w:tc>
              <w:tc>
                <w:tcPr>
                  <w:tcW w:w="1981" w:type="dxa"/>
                  <w:noWrap w:val="0"/>
                  <w:tcMar>
                    <w:top w:w="0" w:type="dxa"/>
                    <w:left w:w="57" w:type="dxa"/>
                    <w:bottom w:w="0" w:type="dxa"/>
                    <w:right w:w="57" w:type="dxa"/>
                  </w:tcMar>
                  <w:vAlign w:val="center"/>
                </w:tcPr>
                <w:p>
                  <w:pPr>
                    <w:autoSpaceDN w:val="0"/>
                    <w:spacing w:line="300" w:lineRule="exact"/>
                    <w:jc w:val="center"/>
                    <w:textAlignment w:val="baseline"/>
                    <w:rPr>
                      <w:rFonts w:hint="default" w:ascii="Times New Roman" w:hAnsi="Times New Roman" w:cs="Times New Roman"/>
                      <w:color w:val="auto"/>
                      <w:lang w:val="en-US" w:eastAsia="zh-CN"/>
                    </w:rPr>
                  </w:pPr>
                  <w:r>
                    <w:rPr>
                      <w:rFonts w:hint="default" w:ascii="Times New Roman" w:hAnsi="Times New Roman" w:cs="Times New Roman"/>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80" w:hRule="atLeast"/>
                <w:jc w:val="center"/>
              </w:trPr>
              <w:tc>
                <w:tcPr>
                  <w:tcW w:w="750" w:type="dxa"/>
                  <w:vMerge w:val="restart"/>
                  <w:noWrap w:val="0"/>
                  <w:tcMar>
                    <w:top w:w="0" w:type="dxa"/>
                    <w:left w:w="57" w:type="dxa"/>
                    <w:bottom w:w="0" w:type="dxa"/>
                    <w:right w:w="57" w:type="dxa"/>
                  </w:tcMar>
                  <w:vAlign w:val="center"/>
                </w:tcPr>
                <w:p>
                  <w:pPr>
                    <w:autoSpaceDN w:val="0"/>
                    <w:spacing w:line="300" w:lineRule="exact"/>
                    <w:jc w:val="center"/>
                    <w:textAlignment w:val="baseline"/>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4</w:t>
                  </w:r>
                </w:p>
              </w:tc>
              <w:tc>
                <w:tcPr>
                  <w:tcW w:w="1074" w:type="dxa"/>
                  <w:vMerge w:val="restart"/>
                  <w:noWrap w:val="0"/>
                  <w:tcMar>
                    <w:top w:w="0" w:type="dxa"/>
                    <w:left w:w="57" w:type="dxa"/>
                    <w:bottom w:w="0" w:type="dxa"/>
                    <w:right w:w="57" w:type="dxa"/>
                  </w:tcMar>
                  <w:vAlign w:val="center"/>
                </w:tcPr>
                <w:p>
                  <w:pPr>
                    <w:autoSpaceDN w:val="0"/>
                    <w:spacing w:line="300" w:lineRule="exact"/>
                    <w:jc w:val="center"/>
                    <w:textAlignment w:val="baseline"/>
                    <w:rPr>
                      <w:rFonts w:hint="default" w:ascii="Times New Roman" w:hAnsi="Times New Roman" w:cs="Times New Roman"/>
                      <w:color w:val="auto"/>
                    </w:rPr>
                  </w:pPr>
                  <w:r>
                    <w:rPr>
                      <w:rFonts w:hint="default" w:ascii="Times New Roman" w:hAnsi="Times New Roman" w:cs="Times New Roman"/>
                      <w:color w:val="auto"/>
                    </w:rPr>
                    <w:t>环保工程</w:t>
                  </w:r>
                </w:p>
              </w:tc>
              <w:tc>
                <w:tcPr>
                  <w:tcW w:w="1414" w:type="dxa"/>
                  <w:noWrap w:val="0"/>
                  <w:tcMar>
                    <w:top w:w="0" w:type="dxa"/>
                    <w:left w:w="57" w:type="dxa"/>
                    <w:bottom w:w="0" w:type="dxa"/>
                    <w:right w:w="57" w:type="dxa"/>
                  </w:tcMar>
                  <w:vAlign w:val="center"/>
                </w:tcPr>
                <w:p>
                  <w:pPr>
                    <w:autoSpaceDN w:val="0"/>
                    <w:spacing w:line="300" w:lineRule="exact"/>
                    <w:jc w:val="center"/>
                    <w:textAlignment w:val="baseline"/>
                    <w:rPr>
                      <w:rFonts w:hint="default" w:ascii="Times New Roman" w:hAnsi="Times New Roman" w:cs="Times New Roman"/>
                      <w:color w:val="auto"/>
                      <w:highlight w:val="none"/>
                    </w:rPr>
                  </w:pPr>
                  <w:r>
                    <w:rPr>
                      <w:rFonts w:hint="default" w:ascii="Times New Roman" w:hAnsi="Times New Roman" w:cs="Times New Roman"/>
                      <w:color w:val="auto"/>
                      <w:highlight w:val="none"/>
                    </w:rPr>
                    <w:t>废水收集及处理</w:t>
                  </w:r>
                </w:p>
              </w:tc>
              <w:tc>
                <w:tcPr>
                  <w:tcW w:w="3546" w:type="dxa"/>
                  <w:noWrap w:val="0"/>
                  <w:tcMar>
                    <w:top w:w="0" w:type="dxa"/>
                    <w:left w:w="57" w:type="dxa"/>
                    <w:bottom w:w="0" w:type="dxa"/>
                    <w:right w:w="57" w:type="dxa"/>
                  </w:tcMar>
                  <w:vAlign w:val="center"/>
                </w:tcPr>
                <w:p>
                  <w:pPr>
                    <w:autoSpaceDN w:val="0"/>
                    <w:spacing w:line="300" w:lineRule="exact"/>
                    <w:jc w:val="both"/>
                    <w:textAlignment w:val="baseline"/>
                    <w:rPr>
                      <w:rFonts w:hint="eastAsia" w:ascii="Times New Roman" w:hAnsi="Times New Roman" w:eastAsia="宋体" w:cs="Times New Roman"/>
                      <w:color w:val="auto"/>
                      <w:highlight w:val="none"/>
                      <w:lang w:val="en-US" w:eastAsia="zh-CN"/>
                    </w:rPr>
                  </w:pPr>
                  <w:r>
                    <w:rPr>
                      <w:rFonts w:hint="eastAsia" w:cs="Times New Roman"/>
                      <w:color w:val="auto"/>
                      <w:highlight w:val="none"/>
                      <w:lang w:val="en-US" w:eastAsia="zh-CN"/>
                    </w:rPr>
                    <w:t>车间生产废水排入厂</w:t>
                  </w:r>
                  <w:r>
                    <w:rPr>
                      <w:rFonts w:hint="eastAsia" w:cs="Times New Roman"/>
                      <w:b w:val="0"/>
                      <w:bCs w:val="0"/>
                      <w:color w:val="auto"/>
                      <w:highlight w:val="none"/>
                      <w:lang w:val="en-US" w:eastAsia="zh-CN"/>
                    </w:rPr>
                    <w:t>区</w:t>
                  </w:r>
                  <w:r>
                    <w:rPr>
                      <w:rFonts w:hint="default" w:ascii="Times New Roman" w:hAnsi="Times New Roman" w:cs="Times New Roman"/>
                      <w:b w:val="0"/>
                      <w:bCs w:val="0"/>
                      <w:color w:val="auto"/>
                      <w:highlight w:val="none"/>
                      <w:lang w:val="en-US" w:eastAsia="zh-CN"/>
                    </w:rPr>
                    <w:t>污水处理站处理</w:t>
                  </w:r>
                  <w:r>
                    <w:rPr>
                      <w:rFonts w:hint="eastAsia" w:cs="Times New Roman"/>
                      <w:b w:val="0"/>
                      <w:bCs w:val="0"/>
                      <w:color w:val="auto"/>
                      <w:highlight w:val="none"/>
                      <w:lang w:val="en-US" w:eastAsia="zh-CN"/>
                    </w:rPr>
                    <w:t>，处理</w:t>
                  </w:r>
                  <w:r>
                    <w:rPr>
                      <w:rFonts w:hint="default" w:ascii="Times New Roman" w:hAnsi="Times New Roman" w:cs="Times New Roman"/>
                      <w:b w:val="0"/>
                      <w:bCs w:val="0"/>
                      <w:color w:val="auto"/>
                      <w:highlight w:val="none"/>
                      <w:lang w:val="en-US" w:eastAsia="zh-CN"/>
                    </w:rPr>
                    <w:t>能力为8t/d</w:t>
                  </w:r>
                  <w:r>
                    <w:rPr>
                      <w:rFonts w:hint="eastAsia" w:cs="Times New Roman"/>
                      <w:b w:val="0"/>
                      <w:bCs w:val="0"/>
                      <w:color w:val="auto"/>
                      <w:highlight w:val="none"/>
                      <w:lang w:val="en-US" w:eastAsia="zh-CN"/>
                    </w:rPr>
                    <w:t>，处理后与生活污水经污水管网一同排入</w:t>
                  </w:r>
                  <w:r>
                    <w:rPr>
                      <w:b w:val="0"/>
                      <w:bCs w:val="0"/>
                      <w:highlight w:val="none"/>
                    </w:rPr>
                    <w:t>青</w:t>
                  </w:r>
                  <w:r>
                    <w:rPr>
                      <w:highlight w:val="none"/>
                    </w:rPr>
                    <w:t>岛</w:t>
                  </w:r>
                  <w:r>
                    <w:t>海清环保科技有限公司污水处理厂</w:t>
                  </w:r>
                  <w:r>
                    <w:rPr>
                      <w:rFonts w:hint="eastAsia"/>
                      <w:lang w:eastAsia="zh-CN"/>
                    </w:rPr>
                    <w:t>。</w:t>
                  </w:r>
                </w:p>
              </w:tc>
              <w:tc>
                <w:tcPr>
                  <w:tcW w:w="1981" w:type="dxa"/>
                  <w:noWrap w:val="0"/>
                  <w:tcMar>
                    <w:top w:w="0" w:type="dxa"/>
                    <w:left w:w="57" w:type="dxa"/>
                    <w:bottom w:w="0" w:type="dxa"/>
                    <w:right w:w="57" w:type="dxa"/>
                  </w:tcMar>
                  <w:vAlign w:val="center"/>
                </w:tcPr>
                <w:p>
                  <w:pPr>
                    <w:spacing w:line="300" w:lineRule="exact"/>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lang w:val="en-US" w:eastAsia="zh-CN"/>
                    </w:rPr>
                    <w:t>混凝沉淀池+生化池+沉淀池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750" w:type="dxa"/>
                  <w:vMerge w:val="continue"/>
                  <w:noWrap w:val="0"/>
                  <w:tcMar>
                    <w:top w:w="0" w:type="dxa"/>
                    <w:left w:w="57" w:type="dxa"/>
                    <w:bottom w:w="0" w:type="dxa"/>
                    <w:right w:w="57" w:type="dxa"/>
                  </w:tcMar>
                  <w:vAlign w:val="center"/>
                </w:tcPr>
                <w:p>
                  <w:pPr>
                    <w:autoSpaceDN w:val="0"/>
                    <w:spacing w:line="300" w:lineRule="exact"/>
                    <w:jc w:val="center"/>
                    <w:textAlignment w:val="baseline"/>
                    <w:rPr>
                      <w:rFonts w:hint="default" w:ascii="Times New Roman" w:hAnsi="Times New Roman" w:cs="Times New Roman"/>
                      <w:color w:val="auto"/>
                    </w:rPr>
                  </w:pPr>
                </w:p>
              </w:tc>
              <w:tc>
                <w:tcPr>
                  <w:tcW w:w="1074" w:type="dxa"/>
                  <w:vMerge w:val="continue"/>
                  <w:noWrap w:val="0"/>
                  <w:tcMar>
                    <w:top w:w="0" w:type="dxa"/>
                    <w:left w:w="57" w:type="dxa"/>
                    <w:bottom w:w="0" w:type="dxa"/>
                    <w:right w:w="57" w:type="dxa"/>
                  </w:tcMar>
                  <w:vAlign w:val="center"/>
                </w:tcPr>
                <w:p>
                  <w:pPr>
                    <w:autoSpaceDN w:val="0"/>
                    <w:spacing w:line="300" w:lineRule="exact"/>
                    <w:jc w:val="center"/>
                    <w:textAlignment w:val="baseline"/>
                    <w:rPr>
                      <w:rFonts w:hint="default" w:ascii="Times New Roman" w:hAnsi="Times New Roman" w:cs="Times New Roman"/>
                      <w:color w:val="auto"/>
                    </w:rPr>
                  </w:pPr>
                </w:p>
              </w:tc>
              <w:tc>
                <w:tcPr>
                  <w:tcW w:w="1414" w:type="dxa"/>
                  <w:noWrap w:val="0"/>
                  <w:tcMar>
                    <w:top w:w="0" w:type="dxa"/>
                    <w:left w:w="57" w:type="dxa"/>
                    <w:bottom w:w="0" w:type="dxa"/>
                    <w:right w:w="57" w:type="dxa"/>
                  </w:tcMar>
                  <w:vAlign w:val="center"/>
                </w:tcPr>
                <w:p>
                  <w:pPr>
                    <w:autoSpaceDN w:val="0"/>
                    <w:spacing w:line="300" w:lineRule="exact"/>
                    <w:jc w:val="center"/>
                    <w:textAlignment w:val="baseline"/>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废气处理措施</w:t>
                  </w:r>
                </w:p>
              </w:tc>
              <w:tc>
                <w:tcPr>
                  <w:tcW w:w="3546" w:type="dxa"/>
                  <w:noWrap w:val="0"/>
                  <w:tcMar>
                    <w:top w:w="0" w:type="dxa"/>
                    <w:left w:w="57" w:type="dxa"/>
                    <w:bottom w:w="0" w:type="dxa"/>
                    <w:right w:w="57" w:type="dxa"/>
                  </w:tcMar>
                  <w:vAlign w:val="center"/>
                </w:tcPr>
                <w:p>
                  <w:pPr>
                    <w:pStyle w:val="2"/>
                    <w:keepNext w:val="0"/>
                    <w:keepLines w:val="0"/>
                    <w:pageBreakBefore w:val="0"/>
                    <w:kinsoku/>
                    <w:wordWrap/>
                    <w:overflowPunct/>
                    <w:topLinePunct w:val="0"/>
                    <w:autoSpaceDE/>
                    <w:bidi w:val="0"/>
                    <w:adjustRightInd w:val="0"/>
                    <w:snapToGrid w:val="0"/>
                    <w:spacing w:after="0" w:line="240" w:lineRule="auto"/>
                    <w:ind w:left="0" w:leftChars="0" w:firstLine="0" w:firstLineChars="0"/>
                    <w:rPr>
                      <w:rFonts w:hint="default" w:ascii="Times New Roman" w:hAnsi="Times New Roman" w:cs="Times New Roman"/>
                      <w:color w:val="auto"/>
                      <w:lang w:val="en-US" w:eastAsia="zh-CN"/>
                    </w:rPr>
                  </w:pPr>
                  <w:r>
                    <w:rPr>
                      <w:rFonts w:hint="eastAsia" w:cs="Times New Roman"/>
                      <w:color w:val="auto"/>
                      <w:lang w:val="en-US" w:eastAsia="zh-CN"/>
                    </w:rPr>
                    <w:t>提取废气经冷却系统冷凝后回收，不凝气无组织排放；产生异味气体的污水池加盖封闭。</w:t>
                  </w:r>
                </w:p>
              </w:tc>
              <w:tc>
                <w:tcPr>
                  <w:tcW w:w="1981" w:type="dxa"/>
                  <w:noWrap w:val="0"/>
                  <w:tcMar>
                    <w:top w:w="0" w:type="dxa"/>
                    <w:left w:w="57" w:type="dxa"/>
                    <w:bottom w:w="0" w:type="dxa"/>
                    <w:right w:w="57" w:type="dxa"/>
                  </w:tcMar>
                  <w:vAlign w:val="center"/>
                </w:tcPr>
                <w:p>
                  <w:pPr>
                    <w:spacing w:line="300" w:lineRule="exact"/>
                    <w:jc w:val="center"/>
                    <w:rPr>
                      <w:rFonts w:hint="default"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18" w:hRule="atLeast"/>
                <w:jc w:val="center"/>
              </w:trPr>
              <w:tc>
                <w:tcPr>
                  <w:tcW w:w="750" w:type="dxa"/>
                  <w:vMerge w:val="continue"/>
                  <w:noWrap w:val="0"/>
                  <w:tcMar>
                    <w:top w:w="0" w:type="dxa"/>
                    <w:left w:w="57" w:type="dxa"/>
                    <w:bottom w:w="0" w:type="dxa"/>
                    <w:right w:w="57" w:type="dxa"/>
                  </w:tcMar>
                  <w:vAlign w:val="center"/>
                </w:tcPr>
                <w:p>
                  <w:pPr>
                    <w:autoSpaceDN w:val="0"/>
                    <w:spacing w:line="300" w:lineRule="exact"/>
                    <w:jc w:val="center"/>
                    <w:textAlignment w:val="baseline"/>
                    <w:rPr>
                      <w:rFonts w:hint="default" w:ascii="Times New Roman" w:hAnsi="Times New Roman" w:cs="Times New Roman"/>
                      <w:color w:val="auto"/>
                    </w:rPr>
                  </w:pPr>
                </w:p>
              </w:tc>
              <w:tc>
                <w:tcPr>
                  <w:tcW w:w="1074" w:type="dxa"/>
                  <w:vMerge w:val="continue"/>
                  <w:noWrap w:val="0"/>
                  <w:tcMar>
                    <w:top w:w="0" w:type="dxa"/>
                    <w:left w:w="57" w:type="dxa"/>
                    <w:bottom w:w="0" w:type="dxa"/>
                    <w:right w:w="57" w:type="dxa"/>
                  </w:tcMar>
                  <w:vAlign w:val="center"/>
                </w:tcPr>
                <w:p>
                  <w:pPr>
                    <w:autoSpaceDN w:val="0"/>
                    <w:spacing w:line="300" w:lineRule="exact"/>
                    <w:jc w:val="center"/>
                    <w:textAlignment w:val="baseline"/>
                    <w:rPr>
                      <w:rFonts w:hint="default" w:ascii="Times New Roman" w:hAnsi="Times New Roman" w:cs="Times New Roman"/>
                      <w:color w:val="auto"/>
                    </w:rPr>
                  </w:pPr>
                </w:p>
              </w:tc>
              <w:tc>
                <w:tcPr>
                  <w:tcW w:w="1414" w:type="dxa"/>
                  <w:noWrap w:val="0"/>
                  <w:tcMar>
                    <w:top w:w="0" w:type="dxa"/>
                    <w:left w:w="57" w:type="dxa"/>
                    <w:bottom w:w="0" w:type="dxa"/>
                    <w:right w:w="57" w:type="dxa"/>
                  </w:tcMar>
                  <w:vAlign w:val="center"/>
                </w:tcPr>
                <w:p>
                  <w:pPr>
                    <w:autoSpaceDN w:val="0"/>
                    <w:spacing w:line="300" w:lineRule="exact"/>
                    <w:jc w:val="center"/>
                    <w:textAlignment w:val="baseline"/>
                    <w:rPr>
                      <w:rFonts w:hint="default" w:ascii="Times New Roman" w:hAnsi="Times New Roman" w:cs="Times New Roman"/>
                      <w:color w:val="auto"/>
                    </w:rPr>
                  </w:pPr>
                  <w:r>
                    <w:rPr>
                      <w:rFonts w:hint="default" w:ascii="Times New Roman" w:hAnsi="Times New Roman" w:cs="Times New Roman"/>
                      <w:color w:val="auto"/>
                    </w:rPr>
                    <w:t>噪声处理设施</w:t>
                  </w:r>
                </w:p>
              </w:tc>
              <w:tc>
                <w:tcPr>
                  <w:tcW w:w="3546" w:type="dxa"/>
                  <w:noWrap w:val="0"/>
                  <w:tcMar>
                    <w:top w:w="0" w:type="dxa"/>
                    <w:left w:w="57" w:type="dxa"/>
                    <w:bottom w:w="0" w:type="dxa"/>
                    <w:right w:w="57" w:type="dxa"/>
                  </w:tcMar>
                  <w:vAlign w:val="center"/>
                </w:tcPr>
                <w:p>
                  <w:pPr>
                    <w:autoSpaceDN w:val="0"/>
                    <w:spacing w:line="300" w:lineRule="exact"/>
                    <w:jc w:val="center"/>
                    <w:textAlignment w:val="baseline"/>
                    <w:rPr>
                      <w:rFonts w:hint="default" w:ascii="Times New Roman" w:hAnsi="Times New Roman" w:eastAsia="宋体" w:cs="Times New Roman"/>
                      <w:color w:val="auto"/>
                      <w:lang w:val="en-US" w:eastAsia="zh-CN"/>
                    </w:rPr>
                  </w:pPr>
                  <w:r>
                    <w:rPr>
                      <w:rFonts w:hint="eastAsia" w:cs="Times New Roman"/>
                      <w:color w:val="auto"/>
                      <w:lang w:val="en-US" w:eastAsia="zh-CN"/>
                    </w:rPr>
                    <w:t>隔声、</w:t>
                  </w:r>
                  <w:r>
                    <w:rPr>
                      <w:rFonts w:hint="default" w:ascii="Times New Roman" w:hAnsi="Times New Roman" w:cs="Times New Roman"/>
                      <w:color w:val="auto"/>
                      <w:lang w:val="en-US" w:eastAsia="zh-CN"/>
                    </w:rPr>
                    <w:t>减振</w:t>
                  </w:r>
                  <w:r>
                    <w:rPr>
                      <w:rFonts w:hint="default" w:ascii="Times New Roman" w:hAnsi="Times New Roman" w:cs="Times New Roman"/>
                      <w:color w:val="auto"/>
                    </w:rPr>
                    <w:t>垫</w:t>
                  </w:r>
                  <w:r>
                    <w:rPr>
                      <w:rFonts w:hint="default" w:ascii="Times New Roman" w:hAnsi="Times New Roman" w:cs="Times New Roman"/>
                      <w:color w:val="auto"/>
                      <w:lang w:val="en-US" w:eastAsia="zh-CN"/>
                    </w:rPr>
                    <w:t>等措施</w:t>
                  </w:r>
                </w:p>
              </w:tc>
              <w:tc>
                <w:tcPr>
                  <w:tcW w:w="1981" w:type="dxa"/>
                  <w:noWrap w:val="0"/>
                  <w:tcMar>
                    <w:top w:w="0" w:type="dxa"/>
                    <w:left w:w="57" w:type="dxa"/>
                    <w:bottom w:w="0" w:type="dxa"/>
                    <w:right w:w="57" w:type="dxa"/>
                  </w:tcMar>
                  <w:vAlign w:val="center"/>
                </w:tcPr>
                <w:p>
                  <w:pPr>
                    <w:spacing w:line="300" w:lineRule="exact"/>
                    <w:jc w:val="center"/>
                    <w:rPr>
                      <w:rFonts w:hint="default" w:ascii="Times New Roman" w:hAnsi="Times New Roman" w:cs="Times New Roman"/>
                      <w:color w:val="auto"/>
                    </w:rPr>
                  </w:pPr>
                  <w:r>
                    <w:rPr>
                      <w:rFonts w:hint="default" w:ascii="Times New Roman" w:hAnsi="Times New Roman" w:cs="Times New Roman"/>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7" w:hRule="atLeast"/>
                <w:jc w:val="center"/>
              </w:trPr>
              <w:tc>
                <w:tcPr>
                  <w:tcW w:w="750" w:type="dxa"/>
                  <w:vMerge w:val="continue"/>
                  <w:noWrap w:val="0"/>
                  <w:tcMar>
                    <w:top w:w="0" w:type="dxa"/>
                    <w:left w:w="57" w:type="dxa"/>
                    <w:bottom w:w="0" w:type="dxa"/>
                    <w:right w:w="57" w:type="dxa"/>
                  </w:tcMar>
                  <w:vAlign w:val="center"/>
                </w:tcPr>
                <w:p>
                  <w:pPr>
                    <w:autoSpaceDN w:val="0"/>
                    <w:spacing w:line="300" w:lineRule="exact"/>
                    <w:jc w:val="center"/>
                    <w:textAlignment w:val="baseline"/>
                    <w:rPr>
                      <w:rFonts w:hint="default" w:ascii="Times New Roman" w:hAnsi="Times New Roman" w:cs="Times New Roman"/>
                      <w:color w:val="auto"/>
                    </w:rPr>
                  </w:pPr>
                </w:p>
              </w:tc>
              <w:tc>
                <w:tcPr>
                  <w:tcW w:w="1074" w:type="dxa"/>
                  <w:vMerge w:val="continue"/>
                  <w:noWrap w:val="0"/>
                  <w:tcMar>
                    <w:top w:w="0" w:type="dxa"/>
                    <w:left w:w="57" w:type="dxa"/>
                    <w:bottom w:w="0" w:type="dxa"/>
                    <w:right w:w="57" w:type="dxa"/>
                  </w:tcMar>
                  <w:vAlign w:val="center"/>
                </w:tcPr>
                <w:p>
                  <w:pPr>
                    <w:autoSpaceDN w:val="0"/>
                    <w:spacing w:line="300" w:lineRule="exact"/>
                    <w:jc w:val="center"/>
                    <w:textAlignment w:val="baseline"/>
                    <w:rPr>
                      <w:rFonts w:hint="default" w:ascii="Times New Roman" w:hAnsi="Times New Roman" w:cs="Times New Roman"/>
                      <w:color w:val="auto"/>
                    </w:rPr>
                  </w:pPr>
                </w:p>
              </w:tc>
              <w:tc>
                <w:tcPr>
                  <w:tcW w:w="1414" w:type="dxa"/>
                  <w:noWrap w:val="0"/>
                  <w:tcMar>
                    <w:top w:w="0" w:type="dxa"/>
                    <w:left w:w="57" w:type="dxa"/>
                    <w:bottom w:w="0" w:type="dxa"/>
                    <w:right w:w="57" w:type="dxa"/>
                  </w:tcMar>
                  <w:vAlign w:val="center"/>
                </w:tcPr>
                <w:p>
                  <w:pPr>
                    <w:autoSpaceDN w:val="0"/>
                    <w:spacing w:line="300" w:lineRule="exact"/>
                    <w:jc w:val="center"/>
                    <w:textAlignment w:val="baseline"/>
                    <w:rPr>
                      <w:rFonts w:hint="default" w:ascii="Times New Roman" w:hAnsi="Times New Roman" w:cs="Times New Roman"/>
                      <w:color w:val="auto"/>
                    </w:rPr>
                  </w:pPr>
                  <w:r>
                    <w:rPr>
                      <w:rFonts w:hint="default" w:ascii="Times New Roman" w:hAnsi="Times New Roman" w:cs="Times New Roman"/>
                      <w:color w:val="auto"/>
                    </w:rPr>
                    <w:t>固废处理设施</w:t>
                  </w:r>
                </w:p>
              </w:tc>
              <w:tc>
                <w:tcPr>
                  <w:tcW w:w="3546" w:type="dxa"/>
                  <w:noWrap w:val="0"/>
                  <w:tcMar>
                    <w:top w:w="0" w:type="dxa"/>
                    <w:left w:w="57" w:type="dxa"/>
                    <w:bottom w:w="0" w:type="dxa"/>
                    <w:right w:w="57" w:type="dxa"/>
                  </w:tcMar>
                  <w:vAlign w:val="center"/>
                </w:tcPr>
                <w:p>
                  <w:pPr>
                    <w:autoSpaceDN w:val="0"/>
                    <w:spacing w:line="300" w:lineRule="exact"/>
                    <w:jc w:val="center"/>
                    <w:textAlignment w:val="baseline"/>
                    <w:rPr>
                      <w:rFonts w:hint="default" w:ascii="Times New Roman" w:hAnsi="Times New Roman" w:eastAsia="宋体" w:cs="Times New Roman"/>
                      <w:color w:val="auto"/>
                      <w:lang w:val="en-US" w:eastAsia="zh-CN"/>
                    </w:rPr>
                  </w:pPr>
                  <w:r>
                    <w:rPr>
                      <w:rFonts w:hint="eastAsia" w:ascii="Times New Roman" w:hAnsi="Times New Roman" w:cs="Times New Roman"/>
                      <w:color w:val="auto"/>
                      <w:szCs w:val="22"/>
                      <w:lang w:val="en-US" w:eastAsia="zh-CN"/>
                    </w:rPr>
                    <w:t>在车间内</w:t>
                  </w:r>
                  <w:r>
                    <w:rPr>
                      <w:rFonts w:hint="default" w:ascii="Times New Roman" w:hAnsi="Times New Roman" w:cs="Times New Roman"/>
                      <w:color w:val="auto"/>
                      <w:szCs w:val="22"/>
                      <w:lang w:val="en-US" w:eastAsia="zh-CN"/>
                    </w:rPr>
                    <w:t>设置1处</w:t>
                  </w:r>
                  <w:r>
                    <w:rPr>
                      <w:rFonts w:hint="eastAsia" w:ascii="Times New Roman" w:hAnsi="Times New Roman" w:cs="Times New Roman"/>
                      <w:color w:val="auto"/>
                      <w:szCs w:val="22"/>
                      <w:lang w:val="en-US" w:eastAsia="zh-CN"/>
                    </w:rPr>
                    <w:t>一般固废</w:t>
                  </w:r>
                  <w:r>
                    <w:rPr>
                      <w:rFonts w:hint="default" w:ascii="Times New Roman" w:hAnsi="Times New Roman" w:cs="Times New Roman"/>
                      <w:color w:val="auto"/>
                      <w:szCs w:val="22"/>
                      <w:lang w:val="en-US" w:eastAsia="zh-CN"/>
                    </w:rPr>
                    <w:t>暂存间</w:t>
                  </w:r>
                  <w:r>
                    <w:rPr>
                      <w:rFonts w:hint="eastAsia" w:cs="Times New Roman"/>
                      <w:color w:val="auto"/>
                      <w:szCs w:val="22"/>
                      <w:lang w:val="en-US" w:eastAsia="zh-CN"/>
                    </w:rPr>
                    <w:t>，占地面积约10m</w:t>
                  </w:r>
                  <w:r>
                    <w:rPr>
                      <w:rFonts w:hint="eastAsia" w:cs="Times New Roman"/>
                      <w:color w:val="auto"/>
                      <w:szCs w:val="22"/>
                      <w:vertAlign w:val="superscript"/>
                      <w:lang w:val="en-US" w:eastAsia="zh-CN"/>
                    </w:rPr>
                    <w:t>2</w:t>
                  </w:r>
                </w:p>
              </w:tc>
              <w:tc>
                <w:tcPr>
                  <w:tcW w:w="1981" w:type="dxa"/>
                  <w:noWrap w:val="0"/>
                  <w:tcMar>
                    <w:top w:w="0" w:type="dxa"/>
                    <w:left w:w="57" w:type="dxa"/>
                    <w:bottom w:w="0" w:type="dxa"/>
                    <w:right w:w="57" w:type="dxa"/>
                  </w:tcMar>
                  <w:vAlign w:val="center"/>
                </w:tcPr>
                <w:p>
                  <w:pPr>
                    <w:spacing w:line="300" w:lineRule="exact"/>
                    <w:jc w:val="center"/>
                    <w:rPr>
                      <w:rFonts w:hint="default" w:ascii="Times New Roman" w:hAnsi="Times New Roman" w:cs="Times New Roman"/>
                      <w:color w:val="auto"/>
                    </w:rPr>
                  </w:pPr>
                  <w:r>
                    <w:rPr>
                      <w:rFonts w:hint="default" w:ascii="Times New Roman" w:hAnsi="Times New Roman" w:cs="Times New Roman"/>
                      <w:color w:val="auto"/>
                    </w:rPr>
                    <w:t>/</w:t>
                  </w:r>
                </w:p>
              </w:tc>
            </w:tr>
          </w:tbl>
          <w:p>
            <w:pPr>
              <w:numPr>
                <w:ilvl w:val="0"/>
                <w:numId w:val="1"/>
              </w:numPr>
              <w:adjustRightInd w:val="0"/>
              <w:snapToGrid w:val="0"/>
              <w:spacing w:line="360" w:lineRule="auto"/>
              <w:ind w:firstLine="482" w:firstLineChars="200"/>
              <w:rPr>
                <w:rFonts w:hint="eastAsia" w:cs="Times New Roman"/>
                <w:b/>
                <w:bCs/>
                <w:sz w:val="24"/>
                <w:szCs w:val="24"/>
                <w:highlight w:val="none"/>
                <w:lang w:val="en-US" w:eastAsia="zh-CN"/>
              </w:rPr>
            </w:pPr>
            <w:r>
              <w:rPr>
                <w:rFonts w:hint="eastAsia" w:cs="Times New Roman"/>
                <w:b/>
                <w:bCs/>
                <w:sz w:val="24"/>
                <w:szCs w:val="24"/>
                <w:highlight w:val="none"/>
                <w:lang w:val="en-US" w:eastAsia="zh-CN"/>
              </w:rPr>
              <w:t>厂区平面布置</w:t>
            </w:r>
          </w:p>
          <w:p>
            <w:pPr>
              <w:numPr>
                <w:ilvl w:val="0"/>
                <w:numId w:val="0"/>
              </w:numPr>
              <w:adjustRightInd w:val="0"/>
              <w:snapToGrid w:val="0"/>
              <w:spacing w:line="360" w:lineRule="auto"/>
              <w:ind w:firstLine="480" w:firstLineChars="200"/>
              <w:rPr>
                <w:rFonts w:hint="default" w:eastAsia="宋体"/>
                <w:sz w:val="24"/>
                <w:szCs w:val="24"/>
                <w:highlight w:val="none"/>
                <w:lang w:val="en-US" w:eastAsia="zh-CN"/>
              </w:rPr>
            </w:pPr>
            <w:r>
              <w:rPr>
                <w:rFonts w:hint="eastAsia" w:cs="Times New Roman"/>
                <w:sz w:val="24"/>
                <w:szCs w:val="24"/>
                <w:highlight w:val="none"/>
                <w:lang w:val="en-US" w:eastAsia="zh-CN"/>
              </w:rPr>
              <w:t>项目所在厂区朝向珠山路，大门北侧依次为1栋4F办公楼及1座生产车间，总平面布置图见</w:t>
            </w:r>
            <w:r>
              <w:rPr>
                <w:rFonts w:hint="eastAsia" w:cs="Times New Roman"/>
                <w:b/>
                <w:bCs/>
                <w:sz w:val="24"/>
                <w:szCs w:val="24"/>
                <w:highlight w:val="none"/>
                <w:lang w:val="en-US" w:eastAsia="zh-CN"/>
              </w:rPr>
              <w:t>附图6</w:t>
            </w:r>
            <w:r>
              <w:rPr>
                <w:rFonts w:hint="eastAsia" w:cs="Times New Roman"/>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2" w:firstLineChars="200"/>
              <w:rPr>
                <w:rFonts w:hint="eastAsia"/>
                <w:b/>
                <w:bCs w:val="0"/>
                <w:i w:val="0"/>
                <w:iCs w:val="0"/>
                <w:sz w:val="24"/>
              </w:rPr>
            </w:pPr>
            <w:r>
              <w:rPr>
                <w:rFonts w:hint="eastAsia" w:cs="Times New Roman"/>
                <w:b/>
                <w:bCs w:val="0"/>
                <w:i w:val="0"/>
                <w:iCs w:val="0"/>
                <w:sz w:val="24"/>
                <w:lang w:val="en-US" w:eastAsia="zh-CN"/>
              </w:rPr>
              <w:t>3</w:t>
            </w:r>
            <w:r>
              <w:rPr>
                <w:rFonts w:hint="eastAsia" w:cs="Times New Roman"/>
                <w:b/>
                <w:bCs w:val="0"/>
                <w:i w:val="0"/>
                <w:iCs w:val="0"/>
                <w:sz w:val="24"/>
                <w:lang w:eastAsia="zh-CN"/>
              </w:rPr>
              <w:t>、</w:t>
            </w:r>
            <w:r>
              <w:rPr>
                <w:rFonts w:hint="eastAsia"/>
                <w:b/>
                <w:bCs w:val="0"/>
                <w:i w:val="0"/>
                <w:iCs w:val="0"/>
                <w:sz w:val="24"/>
              </w:rPr>
              <w:t>项目</w:t>
            </w:r>
            <w:r>
              <w:rPr>
                <w:rFonts w:hint="eastAsia"/>
                <w:b/>
                <w:bCs w:val="0"/>
                <w:i w:val="0"/>
                <w:iCs w:val="0"/>
                <w:sz w:val="24"/>
                <w:lang w:val="en-US" w:eastAsia="zh-CN"/>
              </w:rPr>
              <w:t>主要</w:t>
            </w:r>
            <w:r>
              <w:rPr>
                <w:rFonts w:hint="eastAsia"/>
                <w:b/>
                <w:bCs w:val="0"/>
                <w:i w:val="0"/>
                <w:iCs w:val="0"/>
                <w:sz w:val="24"/>
              </w:rPr>
              <w:t>设备</w:t>
            </w:r>
          </w:p>
          <w:p>
            <w:pPr>
              <w:pStyle w:val="2"/>
              <w:keepNext w:val="0"/>
              <w:keepLines w:val="0"/>
              <w:pageBreakBefore w:val="0"/>
              <w:widowControl w:val="0"/>
              <w:kinsoku/>
              <w:wordWrap/>
              <w:overflowPunct/>
              <w:topLinePunct w:val="0"/>
              <w:autoSpaceDE/>
              <w:autoSpaceDN/>
              <w:bidi w:val="0"/>
              <w:adjustRightInd w:val="0"/>
              <w:snapToGrid w:val="0"/>
              <w:spacing w:after="0" w:afterLines="0" w:line="360" w:lineRule="auto"/>
              <w:ind w:left="0" w:leftChars="0" w:firstLine="480" w:firstLineChars="200"/>
              <w:rPr>
                <w:rFonts w:hint="default" w:eastAsia="宋体"/>
                <w:b w:val="0"/>
                <w:bCs w:val="0"/>
                <w:sz w:val="24"/>
                <w:lang w:val="en-US" w:eastAsia="zh-CN"/>
              </w:rPr>
            </w:pPr>
            <w:r>
              <w:rPr>
                <w:rFonts w:hint="eastAsia"/>
                <w:b w:val="0"/>
                <w:bCs w:val="0"/>
                <w:sz w:val="24"/>
                <w:lang w:val="en-US" w:eastAsia="zh-CN"/>
              </w:rPr>
              <w:t>项目主要设备见表2，车间设备布置见</w:t>
            </w:r>
            <w:r>
              <w:rPr>
                <w:rFonts w:hint="eastAsia"/>
                <w:b/>
                <w:bCs/>
                <w:sz w:val="24"/>
                <w:lang w:val="en-US" w:eastAsia="zh-CN"/>
              </w:rPr>
              <w:t>附图7</w:t>
            </w:r>
            <w:r>
              <w:rPr>
                <w:rFonts w:hint="eastAsia"/>
                <w:b w:val="0"/>
                <w:bCs w:val="0"/>
                <w:sz w:val="24"/>
                <w:lang w:val="en-US" w:eastAsia="zh-CN"/>
              </w:rPr>
              <w:t>。</w:t>
            </w:r>
          </w:p>
          <w:p>
            <w:pPr>
              <w:pStyle w:val="79"/>
              <w:keepNext w:val="0"/>
              <w:keepLines w:val="0"/>
              <w:pageBreakBefore w:val="0"/>
              <w:widowControl w:val="0"/>
              <w:kinsoku/>
              <w:wordWrap/>
              <w:overflowPunct/>
              <w:topLinePunct w:val="0"/>
              <w:autoSpaceDE/>
              <w:autoSpaceDN/>
              <w:bidi w:val="0"/>
              <w:adjustRightInd w:val="0"/>
              <w:snapToGrid w:val="0"/>
              <w:spacing w:line="360" w:lineRule="auto"/>
              <w:rPr>
                <w:rFonts w:hint="eastAsia"/>
                <w:sz w:val="21"/>
                <w:szCs w:val="21"/>
              </w:rPr>
            </w:pPr>
            <w:r>
              <w:rPr>
                <w:rFonts w:hint="eastAsia"/>
                <w:sz w:val="21"/>
                <w:szCs w:val="21"/>
              </w:rPr>
              <w:t>表</w:t>
            </w:r>
            <w:r>
              <w:rPr>
                <w:rFonts w:hint="eastAsia"/>
                <w:sz w:val="21"/>
                <w:szCs w:val="21"/>
                <w:lang w:val="en-US" w:eastAsia="zh-CN"/>
              </w:rPr>
              <w:t>2</w:t>
            </w:r>
            <w:r>
              <w:rPr>
                <w:rFonts w:hint="eastAsia"/>
                <w:sz w:val="21"/>
                <w:szCs w:val="21"/>
              </w:rPr>
              <w:t xml:space="preserve"> 项目</w:t>
            </w:r>
            <w:r>
              <w:rPr>
                <w:rFonts w:hint="eastAsia"/>
                <w:sz w:val="21"/>
                <w:szCs w:val="21"/>
                <w:lang w:val="en-US" w:eastAsia="zh-CN"/>
              </w:rPr>
              <w:t>主要</w:t>
            </w:r>
            <w:r>
              <w:rPr>
                <w:rFonts w:hint="eastAsia"/>
                <w:sz w:val="21"/>
                <w:szCs w:val="21"/>
              </w:rPr>
              <w:t>设备一览表</w:t>
            </w:r>
          </w:p>
          <w:tbl>
            <w:tblPr>
              <w:tblStyle w:val="3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5"/>
              <w:gridCol w:w="2111"/>
              <w:gridCol w:w="2119"/>
              <w:gridCol w:w="2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trPr>
              <w:tc>
                <w:tcPr>
                  <w:tcW w:w="1318" w:type="pct"/>
                  <w:noWrap w:val="0"/>
                  <w:vAlign w:val="center"/>
                </w:tcPr>
                <w:p>
                  <w:pPr>
                    <w:pStyle w:val="3"/>
                    <w:keepNext w:val="0"/>
                    <w:keepLines w:val="0"/>
                    <w:pageBreakBefore w:val="0"/>
                    <w:widowControl w:val="0"/>
                    <w:kinsoku/>
                    <w:wordWrap/>
                    <w:overflowPunct/>
                    <w:topLinePunct w:val="0"/>
                    <w:autoSpaceDE/>
                    <w:autoSpaceDN/>
                    <w:bidi w:val="0"/>
                    <w:adjustRightInd w:val="0"/>
                    <w:snapToGrid w:val="0"/>
                    <w:spacing w:after="0" w:afterLines="0" w:line="240" w:lineRule="auto"/>
                    <w:ind w:left="0" w:leftChars="0" w:firstLine="0"/>
                    <w:jc w:val="center"/>
                    <w:textAlignment w:val="auto"/>
                    <w:rPr>
                      <w:rFonts w:hint="default" w:ascii="Times New Roman" w:hAnsi="Times New Roman" w:cs="Times New Roman" w:eastAsiaTheme="minorEastAsia"/>
                      <w:b w:val="0"/>
                      <w:bCs/>
                      <w:spacing w:val="0"/>
                      <w:kern w:val="2"/>
                      <w:szCs w:val="24"/>
                    </w:rPr>
                  </w:pPr>
                  <w:r>
                    <w:rPr>
                      <w:rFonts w:hint="default" w:ascii="Times New Roman" w:hAnsi="Times New Roman" w:cs="Times New Roman" w:eastAsiaTheme="minorEastAsia"/>
                      <w:b w:val="0"/>
                      <w:bCs/>
                      <w:spacing w:val="0"/>
                      <w:kern w:val="2"/>
                      <w:szCs w:val="24"/>
                    </w:rPr>
                    <w:t>设备名称</w:t>
                  </w:r>
                </w:p>
              </w:tc>
              <w:tc>
                <w:tcPr>
                  <w:tcW w:w="1223" w:type="pct"/>
                  <w:noWrap w:val="0"/>
                  <w:vAlign w:val="center"/>
                </w:tcPr>
                <w:p>
                  <w:pPr>
                    <w:pStyle w:val="3"/>
                    <w:keepNext w:val="0"/>
                    <w:keepLines w:val="0"/>
                    <w:pageBreakBefore w:val="0"/>
                    <w:widowControl w:val="0"/>
                    <w:kinsoku/>
                    <w:wordWrap/>
                    <w:overflowPunct/>
                    <w:topLinePunct w:val="0"/>
                    <w:autoSpaceDE/>
                    <w:autoSpaceDN/>
                    <w:bidi w:val="0"/>
                    <w:adjustRightInd w:val="0"/>
                    <w:snapToGrid w:val="0"/>
                    <w:spacing w:after="0" w:afterLines="0" w:line="240" w:lineRule="auto"/>
                    <w:ind w:left="0" w:leftChars="0" w:firstLine="0"/>
                    <w:jc w:val="center"/>
                    <w:textAlignment w:val="auto"/>
                    <w:rPr>
                      <w:rFonts w:hint="default" w:ascii="Times New Roman" w:hAnsi="Times New Roman" w:cs="Times New Roman" w:eastAsiaTheme="minorEastAsia"/>
                      <w:b w:val="0"/>
                      <w:bCs/>
                      <w:spacing w:val="0"/>
                      <w:kern w:val="2"/>
                      <w:szCs w:val="24"/>
                    </w:rPr>
                  </w:pPr>
                  <w:r>
                    <w:rPr>
                      <w:rFonts w:hint="default" w:ascii="Times New Roman" w:hAnsi="Times New Roman" w:cs="Times New Roman" w:eastAsiaTheme="minorEastAsia"/>
                      <w:b w:val="0"/>
                      <w:bCs/>
                      <w:spacing w:val="0"/>
                      <w:kern w:val="2"/>
                      <w:szCs w:val="24"/>
                    </w:rPr>
                    <w:t>规格型号</w:t>
                  </w:r>
                </w:p>
              </w:tc>
              <w:tc>
                <w:tcPr>
                  <w:tcW w:w="1228" w:type="pct"/>
                  <w:noWrap w:val="0"/>
                  <w:vAlign w:val="center"/>
                </w:tcPr>
                <w:p>
                  <w:pPr>
                    <w:pStyle w:val="3"/>
                    <w:keepNext w:val="0"/>
                    <w:keepLines w:val="0"/>
                    <w:pageBreakBefore w:val="0"/>
                    <w:widowControl w:val="0"/>
                    <w:kinsoku/>
                    <w:wordWrap/>
                    <w:overflowPunct/>
                    <w:topLinePunct w:val="0"/>
                    <w:autoSpaceDE/>
                    <w:autoSpaceDN/>
                    <w:bidi w:val="0"/>
                    <w:adjustRightInd w:val="0"/>
                    <w:snapToGrid w:val="0"/>
                    <w:spacing w:after="0" w:afterLines="0" w:line="240" w:lineRule="auto"/>
                    <w:ind w:left="0" w:leftChars="0" w:firstLine="0"/>
                    <w:jc w:val="center"/>
                    <w:textAlignment w:val="auto"/>
                    <w:rPr>
                      <w:rFonts w:hint="default" w:ascii="Times New Roman" w:hAnsi="Times New Roman" w:cs="Times New Roman" w:eastAsiaTheme="minorEastAsia"/>
                      <w:b w:val="0"/>
                      <w:bCs/>
                      <w:spacing w:val="0"/>
                      <w:kern w:val="2"/>
                      <w:szCs w:val="24"/>
                    </w:rPr>
                  </w:pPr>
                  <w:r>
                    <w:rPr>
                      <w:rFonts w:hint="default" w:ascii="Times New Roman" w:hAnsi="Times New Roman" w:cs="Times New Roman" w:eastAsiaTheme="minorEastAsia"/>
                      <w:b w:val="0"/>
                      <w:bCs/>
                      <w:spacing w:val="0"/>
                      <w:kern w:val="2"/>
                      <w:szCs w:val="24"/>
                    </w:rPr>
                    <w:t>数量</w:t>
                  </w:r>
                </w:p>
              </w:tc>
              <w:tc>
                <w:tcPr>
                  <w:tcW w:w="1228" w:type="pct"/>
                  <w:noWrap w:val="0"/>
                  <w:vAlign w:val="center"/>
                </w:tcPr>
                <w:p>
                  <w:pPr>
                    <w:pStyle w:val="3"/>
                    <w:keepNext w:val="0"/>
                    <w:keepLines w:val="0"/>
                    <w:pageBreakBefore w:val="0"/>
                    <w:widowControl w:val="0"/>
                    <w:kinsoku/>
                    <w:wordWrap/>
                    <w:overflowPunct/>
                    <w:topLinePunct w:val="0"/>
                    <w:autoSpaceDE/>
                    <w:autoSpaceDN/>
                    <w:bidi w:val="0"/>
                    <w:adjustRightInd w:val="0"/>
                    <w:snapToGrid w:val="0"/>
                    <w:spacing w:after="0" w:afterLines="0" w:line="240" w:lineRule="auto"/>
                    <w:ind w:left="0" w:leftChars="0" w:firstLine="0"/>
                    <w:jc w:val="center"/>
                    <w:textAlignment w:val="auto"/>
                    <w:rPr>
                      <w:rFonts w:hint="default" w:ascii="Times New Roman" w:hAnsi="Times New Roman" w:cs="Times New Roman" w:eastAsiaTheme="minorEastAsia"/>
                      <w:b w:val="0"/>
                      <w:bCs/>
                      <w:spacing w:val="0"/>
                      <w:kern w:val="2"/>
                      <w:szCs w:val="24"/>
                    </w:rPr>
                  </w:pPr>
                  <w:r>
                    <w:rPr>
                      <w:rFonts w:hint="default" w:ascii="Times New Roman" w:hAnsi="Times New Roman" w:cs="Times New Roman" w:eastAsiaTheme="minorEastAsia"/>
                      <w:b w:val="0"/>
                      <w:bCs/>
                      <w:spacing w:val="0"/>
                      <w:kern w:val="2"/>
                      <w:szCs w:val="24"/>
                    </w:rPr>
                    <w:t>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1318"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jc w:val="center"/>
                    <w:textAlignment w:val="auto"/>
                    <w:rPr>
                      <w:rFonts w:hint="default" w:ascii="Times New Roman" w:hAnsi="Times New Roman" w:cs="Times New Roman" w:eastAsiaTheme="minorEastAsia"/>
                      <w:b w:val="0"/>
                      <w:bCs/>
                      <w:szCs w:val="21"/>
                    </w:rPr>
                  </w:pPr>
                  <w:r>
                    <w:rPr>
                      <w:rFonts w:hint="default" w:ascii="Times New Roman" w:hAnsi="Times New Roman" w:cs="Times New Roman" w:eastAsiaTheme="minorEastAsia"/>
                      <w:b w:val="0"/>
                      <w:bCs/>
                      <w:sz w:val="21"/>
                      <w:szCs w:val="21"/>
                      <w:lang w:val="en-US" w:eastAsia="zh-CN"/>
                    </w:rPr>
                    <w:t>果蔬</w:t>
                  </w:r>
                  <w:r>
                    <w:rPr>
                      <w:rFonts w:hint="eastAsia" w:cs="Times New Roman" w:eastAsiaTheme="minorEastAsia"/>
                      <w:b w:val="0"/>
                      <w:bCs/>
                      <w:sz w:val="21"/>
                      <w:szCs w:val="21"/>
                      <w:lang w:val="en-US" w:eastAsia="zh-CN"/>
                    </w:rPr>
                    <w:t>臭氧</w:t>
                  </w:r>
                  <w:r>
                    <w:rPr>
                      <w:rFonts w:hint="default" w:ascii="Times New Roman" w:hAnsi="Times New Roman" w:cs="Times New Roman" w:eastAsiaTheme="minorEastAsia"/>
                      <w:b w:val="0"/>
                      <w:bCs/>
                      <w:sz w:val="21"/>
                      <w:szCs w:val="21"/>
                      <w:lang w:val="en-US" w:eastAsia="zh-CN"/>
                    </w:rPr>
                    <w:t>气泡清洗机</w:t>
                  </w:r>
                </w:p>
              </w:tc>
              <w:tc>
                <w:tcPr>
                  <w:tcW w:w="1223"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jc w:val="center"/>
                    <w:textAlignment w:val="auto"/>
                    <w:rPr>
                      <w:rFonts w:hint="default" w:ascii="Times New Roman" w:hAnsi="Times New Roman" w:cs="Times New Roman" w:eastAsiaTheme="minorEastAsia"/>
                      <w:b w:val="0"/>
                      <w:bCs/>
                      <w:szCs w:val="21"/>
                    </w:rPr>
                  </w:pPr>
                  <w:r>
                    <w:rPr>
                      <w:rFonts w:hint="default" w:ascii="Times New Roman" w:hAnsi="Times New Roman" w:cs="Times New Roman" w:eastAsiaTheme="minorEastAsia"/>
                      <w:b w:val="0"/>
                      <w:bCs/>
                      <w:sz w:val="21"/>
                      <w:szCs w:val="21"/>
                      <w:lang w:val="en-US" w:eastAsia="zh-CN"/>
                    </w:rPr>
                    <w:t>1.5KW</w:t>
                  </w:r>
                </w:p>
              </w:tc>
              <w:tc>
                <w:tcPr>
                  <w:tcW w:w="1228"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jc w:val="center"/>
                    <w:textAlignment w:val="auto"/>
                    <w:rPr>
                      <w:rFonts w:hint="default" w:ascii="Times New Roman" w:hAnsi="Times New Roman" w:cs="Times New Roman" w:eastAsiaTheme="minorEastAsia"/>
                      <w:b w:val="0"/>
                      <w:bCs/>
                      <w:szCs w:val="21"/>
                      <w:lang w:val="en-US" w:eastAsia="zh-CN"/>
                    </w:rPr>
                  </w:pPr>
                  <w:r>
                    <w:rPr>
                      <w:rFonts w:hint="default" w:ascii="Times New Roman" w:hAnsi="Times New Roman" w:cs="Times New Roman" w:eastAsiaTheme="minorEastAsia"/>
                      <w:b w:val="0"/>
                      <w:bCs/>
                      <w:szCs w:val="21"/>
                      <w:lang w:val="en-US" w:eastAsia="zh-CN"/>
                    </w:rPr>
                    <w:t>3</w:t>
                  </w:r>
                </w:p>
              </w:tc>
              <w:tc>
                <w:tcPr>
                  <w:tcW w:w="1228"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jc w:val="center"/>
                    <w:textAlignment w:val="auto"/>
                    <w:rPr>
                      <w:rFonts w:hint="default" w:ascii="Times New Roman" w:hAnsi="Times New Roman" w:cs="Times New Roman" w:eastAsiaTheme="minorEastAsia"/>
                      <w:b w:val="0"/>
                      <w:bCs/>
                      <w:szCs w:val="21"/>
                      <w:lang w:eastAsia="zh-CN"/>
                    </w:rPr>
                  </w:pPr>
                  <w:r>
                    <w:rPr>
                      <w:rFonts w:hint="default" w:ascii="Times New Roman" w:hAnsi="Times New Roman" w:cs="Times New Roman" w:eastAsiaTheme="minorEastAsia"/>
                      <w:b w:val="0"/>
                      <w:bCs/>
                      <w:szCs w:val="21"/>
                      <w:lang w:eastAsia="zh-CN"/>
                    </w:rPr>
                    <w:t>清洗间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9" w:hRule="atLeast"/>
              </w:trPr>
              <w:tc>
                <w:tcPr>
                  <w:tcW w:w="1318"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cs="Times New Roman" w:eastAsiaTheme="minorEastAsia"/>
                      <w:b w:val="0"/>
                      <w:bCs/>
                      <w:kern w:val="2"/>
                      <w:sz w:val="21"/>
                      <w:szCs w:val="21"/>
                      <w:lang w:val="en-US" w:eastAsia="zh-CN" w:bidi="ar-SA"/>
                    </w:rPr>
                  </w:pPr>
                  <w:r>
                    <w:rPr>
                      <w:rFonts w:hint="default" w:ascii="Times New Roman" w:hAnsi="Times New Roman" w:cs="Times New Roman" w:eastAsiaTheme="minorEastAsia"/>
                      <w:b w:val="0"/>
                      <w:bCs/>
                      <w:sz w:val="21"/>
                      <w:szCs w:val="21"/>
                      <w:lang w:val="en-US" w:eastAsia="zh-CN"/>
                    </w:rPr>
                    <w:t>真空干燥机</w:t>
                  </w:r>
                </w:p>
              </w:tc>
              <w:tc>
                <w:tcPr>
                  <w:tcW w:w="1223"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jc w:val="center"/>
                    <w:textAlignment w:val="auto"/>
                    <w:rPr>
                      <w:rFonts w:hint="default" w:ascii="Times New Roman" w:hAnsi="Times New Roman" w:cs="Times New Roman" w:eastAsiaTheme="minorEastAsia"/>
                      <w:b w:val="0"/>
                      <w:bCs/>
                      <w:szCs w:val="21"/>
                    </w:rPr>
                  </w:pPr>
                  <w:r>
                    <w:rPr>
                      <w:rFonts w:hint="default" w:ascii="Times New Roman" w:hAnsi="Times New Roman" w:cs="Times New Roman" w:eastAsiaTheme="minorEastAsia"/>
                      <w:b w:val="0"/>
                      <w:bCs/>
                      <w:sz w:val="21"/>
                      <w:szCs w:val="21"/>
                      <w:lang w:val="en-US" w:eastAsia="zh-CN"/>
                    </w:rPr>
                    <w:t>150L</w:t>
                  </w:r>
                </w:p>
              </w:tc>
              <w:tc>
                <w:tcPr>
                  <w:tcW w:w="1228"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jc w:val="center"/>
                    <w:textAlignment w:val="auto"/>
                    <w:rPr>
                      <w:rFonts w:hint="default" w:ascii="Times New Roman" w:hAnsi="Times New Roman" w:cs="Times New Roman" w:eastAsiaTheme="minorEastAsia"/>
                      <w:b w:val="0"/>
                      <w:bCs/>
                      <w:szCs w:val="21"/>
                    </w:rPr>
                  </w:pPr>
                  <w:r>
                    <w:rPr>
                      <w:rFonts w:hint="default" w:ascii="Times New Roman" w:hAnsi="Times New Roman" w:cs="Times New Roman" w:eastAsiaTheme="minorEastAsia"/>
                      <w:b w:val="0"/>
                      <w:bCs/>
                      <w:sz w:val="21"/>
                      <w:szCs w:val="21"/>
                      <w:lang w:val="en-US" w:eastAsia="zh-CN"/>
                    </w:rPr>
                    <w:t>4</w:t>
                  </w:r>
                </w:p>
              </w:tc>
              <w:tc>
                <w:tcPr>
                  <w:tcW w:w="1228"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jc w:val="center"/>
                    <w:textAlignment w:val="auto"/>
                    <w:rPr>
                      <w:rFonts w:hint="default" w:ascii="Times New Roman" w:hAnsi="Times New Roman" w:cs="Times New Roman" w:eastAsiaTheme="minorEastAsia"/>
                      <w:b w:val="0"/>
                      <w:bCs/>
                      <w:szCs w:val="21"/>
                      <w:lang w:eastAsia="zh-CN"/>
                    </w:rPr>
                  </w:pPr>
                  <w:r>
                    <w:rPr>
                      <w:rFonts w:hint="default" w:ascii="Times New Roman" w:hAnsi="Times New Roman" w:cs="Times New Roman" w:eastAsiaTheme="minorEastAsia"/>
                      <w:b w:val="0"/>
                      <w:bCs/>
                      <w:szCs w:val="21"/>
                      <w:lang w:eastAsia="zh-CN"/>
                    </w:rPr>
                    <w:t>提取间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trPr>
              <w:tc>
                <w:tcPr>
                  <w:tcW w:w="1318"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cs="Times New Roman" w:eastAsiaTheme="minorEastAsia"/>
                      <w:b w:val="0"/>
                      <w:bCs/>
                      <w:kern w:val="2"/>
                      <w:sz w:val="21"/>
                      <w:szCs w:val="21"/>
                      <w:lang w:val="en-US" w:eastAsia="zh-CN" w:bidi="ar-SA"/>
                    </w:rPr>
                  </w:pPr>
                  <w:r>
                    <w:rPr>
                      <w:rFonts w:hint="default" w:ascii="Times New Roman" w:hAnsi="Times New Roman" w:cs="Times New Roman" w:eastAsiaTheme="minorEastAsia"/>
                      <w:b w:val="0"/>
                      <w:bCs/>
                      <w:sz w:val="21"/>
                      <w:szCs w:val="21"/>
                      <w:lang w:val="en-US" w:eastAsia="zh-CN"/>
                    </w:rPr>
                    <w:t>电蒸汽发生器</w:t>
                  </w:r>
                </w:p>
              </w:tc>
              <w:tc>
                <w:tcPr>
                  <w:tcW w:w="1223"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jc w:val="center"/>
                    <w:textAlignment w:val="auto"/>
                    <w:rPr>
                      <w:rFonts w:hint="default" w:ascii="Times New Roman" w:hAnsi="Times New Roman" w:cs="Times New Roman" w:eastAsiaTheme="minorEastAsia"/>
                      <w:b w:val="0"/>
                      <w:bCs/>
                      <w:szCs w:val="21"/>
                    </w:rPr>
                  </w:pPr>
                  <w:r>
                    <w:rPr>
                      <w:rFonts w:hint="default" w:ascii="Times New Roman" w:hAnsi="Times New Roman" w:cs="Times New Roman" w:eastAsiaTheme="minorEastAsia"/>
                      <w:b w:val="0"/>
                      <w:bCs/>
                      <w:sz w:val="21"/>
                      <w:szCs w:val="21"/>
                      <w:lang w:val="en-US" w:eastAsia="zh-CN"/>
                    </w:rPr>
                    <w:t>48KW</w:t>
                  </w:r>
                </w:p>
              </w:tc>
              <w:tc>
                <w:tcPr>
                  <w:tcW w:w="1228"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jc w:val="center"/>
                    <w:textAlignment w:val="auto"/>
                    <w:rPr>
                      <w:rFonts w:hint="default" w:ascii="Times New Roman" w:hAnsi="Times New Roman" w:cs="Times New Roman" w:eastAsiaTheme="minorEastAsia"/>
                      <w:b w:val="0"/>
                      <w:bCs/>
                      <w:szCs w:val="21"/>
                    </w:rPr>
                  </w:pPr>
                  <w:r>
                    <w:rPr>
                      <w:rFonts w:hint="default" w:ascii="Times New Roman" w:hAnsi="Times New Roman" w:cs="Times New Roman" w:eastAsiaTheme="minorEastAsia"/>
                      <w:b w:val="0"/>
                      <w:bCs/>
                      <w:sz w:val="21"/>
                      <w:szCs w:val="21"/>
                      <w:lang w:val="en-US" w:eastAsia="zh-CN"/>
                    </w:rPr>
                    <w:t>4</w:t>
                  </w:r>
                </w:p>
              </w:tc>
              <w:tc>
                <w:tcPr>
                  <w:tcW w:w="1228"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jc w:val="center"/>
                    <w:textAlignment w:val="auto"/>
                    <w:rPr>
                      <w:rFonts w:hint="default" w:ascii="Times New Roman" w:hAnsi="Times New Roman" w:cs="Times New Roman" w:eastAsiaTheme="minorEastAsia"/>
                      <w:b w:val="0"/>
                      <w:bCs/>
                      <w:szCs w:val="21"/>
                    </w:rPr>
                  </w:pPr>
                  <w:r>
                    <w:rPr>
                      <w:rFonts w:hint="default" w:ascii="Times New Roman" w:hAnsi="Times New Roman" w:cs="Times New Roman" w:eastAsiaTheme="minorEastAsia"/>
                      <w:b w:val="0"/>
                      <w:bCs/>
                      <w:szCs w:val="21"/>
                      <w:lang w:eastAsia="zh-CN"/>
                    </w:rPr>
                    <w:t>提取间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trPr>
              <w:tc>
                <w:tcPr>
                  <w:tcW w:w="1318"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cs="Times New Roman" w:eastAsiaTheme="minorEastAsia"/>
                      <w:b w:val="0"/>
                      <w:bCs/>
                      <w:kern w:val="2"/>
                      <w:sz w:val="21"/>
                      <w:szCs w:val="21"/>
                      <w:lang w:val="en-US" w:eastAsia="zh-CN" w:bidi="ar-SA"/>
                    </w:rPr>
                  </w:pPr>
                  <w:r>
                    <w:rPr>
                      <w:rFonts w:hint="default" w:ascii="Times New Roman" w:hAnsi="Times New Roman" w:cs="Times New Roman" w:eastAsiaTheme="minorEastAsia"/>
                      <w:b w:val="0"/>
                      <w:bCs/>
                      <w:sz w:val="21"/>
                      <w:szCs w:val="21"/>
                      <w:lang w:val="en-US" w:eastAsia="zh-CN"/>
                    </w:rPr>
                    <w:t>冷水机组</w:t>
                  </w:r>
                </w:p>
              </w:tc>
              <w:tc>
                <w:tcPr>
                  <w:tcW w:w="1223"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jc w:val="center"/>
                    <w:textAlignment w:val="auto"/>
                    <w:rPr>
                      <w:rFonts w:hint="default" w:ascii="Times New Roman" w:hAnsi="Times New Roman" w:cs="Times New Roman" w:eastAsiaTheme="minorEastAsia"/>
                      <w:b w:val="0"/>
                      <w:bCs/>
                      <w:szCs w:val="21"/>
                    </w:rPr>
                  </w:pPr>
                  <w:r>
                    <w:rPr>
                      <w:rFonts w:hint="default" w:ascii="Times New Roman" w:hAnsi="Times New Roman" w:cs="Times New Roman" w:eastAsiaTheme="minorEastAsia"/>
                      <w:b w:val="0"/>
                      <w:bCs/>
                      <w:sz w:val="21"/>
                      <w:szCs w:val="21"/>
                      <w:lang w:val="en-US" w:eastAsia="zh-CN"/>
                    </w:rPr>
                    <w:t>135KW</w:t>
                  </w:r>
                </w:p>
              </w:tc>
              <w:tc>
                <w:tcPr>
                  <w:tcW w:w="1228"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jc w:val="center"/>
                    <w:textAlignment w:val="auto"/>
                    <w:rPr>
                      <w:rFonts w:hint="default" w:ascii="Times New Roman" w:hAnsi="Times New Roman" w:cs="Times New Roman" w:eastAsiaTheme="minorEastAsia"/>
                      <w:b w:val="0"/>
                      <w:bCs/>
                      <w:szCs w:val="21"/>
                      <w:lang w:val="en-US" w:eastAsia="zh-CN"/>
                    </w:rPr>
                  </w:pPr>
                  <w:r>
                    <w:rPr>
                      <w:rFonts w:hint="default" w:ascii="Times New Roman" w:hAnsi="Times New Roman" w:cs="Times New Roman" w:eastAsiaTheme="minorEastAsia"/>
                      <w:b w:val="0"/>
                      <w:bCs/>
                      <w:szCs w:val="21"/>
                      <w:lang w:val="en-US" w:eastAsia="zh-CN"/>
                    </w:rPr>
                    <w:t>1</w:t>
                  </w:r>
                </w:p>
              </w:tc>
              <w:tc>
                <w:tcPr>
                  <w:tcW w:w="1228"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jc w:val="center"/>
                    <w:textAlignment w:val="auto"/>
                    <w:rPr>
                      <w:rFonts w:hint="default" w:ascii="Times New Roman" w:hAnsi="Times New Roman" w:cs="Times New Roman" w:eastAsiaTheme="minorEastAsia"/>
                      <w:b w:val="0"/>
                      <w:bCs/>
                      <w:szCs w:val="21"/>
                    </w:rPr>
                  </w:pPr>
                  <w:r>
                    <w:rPr>
                      <w:rFonts w:hint="default" w:ascii="Times New Roman" w:hAnsi="Times New Roman" w:cs="Times New Roman" w:eastAsiaTheme="minorEastAsia"/>
                      <w:b w:val="0"/>
                      <w:bCs/>
                      <w:szCs w:val="21"/>
                      <w:lang w:eastAsia="zh-CN"/>
                    </w:rPr>
                    <w:t>提取间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9" w:hRule="atLeast"/>
              </w:trPr>
              <w:tc>
                <w:tcPr>
                  <w:tcW w:w="1318"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cs="Times New Roman" w:eastAsiaTheme="minorEastAsia"/>
                      <w:b w:val="0"/>
                      <w:bCs/>
                      <w:kern w:val="2"/>
                      <w:sz w:val="21"/>
                      <w:szCs w:val="21"/>
                      <w:lang w:val="en-US" w:eastAsia="zh-CN" w:bidi="ar-SA"/>
                    </w:rPr>
                  </w:pPr>
                  <w:r>
                    <w:rPr>
                      <w:rFonts w:hint="default" w:ascii="Times New Roman" w:hAnsi="Times New Roman" w:cs="Times New Roman" w:eastAsiaTheme="minorEastAsia"/>
                      <w:b w:val="0"/>
                      <w:bCs/>
                      <w:sz w:val="21"/>
                      <w:szCs w:val="21"/>
                      <w:lang w:val="en-US" w:eastAsia="zh-CN"/>
                    </w:rPr>
                    <w:t>净水处理设备</w:t>
                  </w:r>
                </w:p>
              </w:tc>
              <w:tc>
                <w:tcPr>
                  <w:tcW w:w="1223"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jc w:val="center"/>
                    <w:textAlignment w:val="auto"/>
                    <w:rPr>
                      <w:rFonts w:hint="default"/>
                      <w:lang w:val="en-US"/>
                    </w:rPr>
                  </w:pPr>
                  <w:r>
                    <w:rPr>
                      <w:rFonts w:hint="eastAsia"/>
                      <w:lang w:val="en-US" w:eastAsia="zh-CN"/>
                    </w:rPr>
                    <w:t>处理能力为</w:t>
                  </w:r>
                  <w:r>
                    <w:rPr>
                      <w:rFonts w:hint="default"/>
                      <w:lang w:val="en-US" w:eastAsia="zh-CN"/>
                    </w:rPr>
                    <w:t>1</w:t>
                  </w:r>
                  <w:r>
                    <w:rPr>
                      <w:rFonts w:hint="eastAsia"/>
                      <w:lang w:val="en-US" w:eastAsia="zh-CN"/>
                    </w:rPr>
                    <w:t>t/h</w:t>
                  </w:r>
                </w:p>
              </w:tc>
              <w:tc>
                <w:tcPr>
                  <w:tcW w:w="1228"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jc w:val="center"/>
                    <w:textAlignment w:val="auto"/>
                    <w:rPr>
                      <w:rFonts w:hint="default" w:ascii="Times New Roman" w:hAnsi="Times New Roman" w:cs="Times New Roman" w:eastAsiaTheme="minorEastAsia"/>
                      <w:b w:val="0"/>
                      <w:bCs/>
                      <w:szCs w:val="21"/>
                      <w:lang w:val="en-US" w:eastAsia="zh-CN"/>
                    </w:rPr>
                  </w:pPr>
                  <w:r>
                    <w:rPr>
                      <w:rFonts w:hint="default" w:ascii="Times New Roman" w:hAnsi="Times New Roman" w:cs="Times New Roman" w:eastAsiaTheme="minorEastAsia"/>
                      <w:b w:val="0"/>
                      <w:bCs/>
                      <w:szCs w:val="21"/>
                      <w:lang w:val="en-US" w:eastAsia="zh-CN"/>
                    </w:rPr>
                    <w:t>1</w:t>
                  </w:r>
                </w:p>
              </w:tc>
              <w:tc>
                <w:tcPr>
                  <w:tcW w:w="1228"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jc w:val="center"/>
                    <w:textAlignment w:val="auto"/>
                    <w:rPr>
                      <w:rFonts w:hint="default" w:ascii="Times New Roman" w:hAnsi="Times New Roman" w:cs="Times New Roman" w:eastAsiaTheme="minorEastAsia"/>
                      <w:b w:val="0"/>
                      <w:bCs/>
                      <w:szCs w:val="21"/>
                      <w:lang w:eastAsia="zh-CN"/>
                    </w:rPr>
                  </w:pPr>
                  <w:r>
                    <w:rPr>
                      <w:rFonts w:hint="default" w:ascii="Times New Roman" w:hAnsi="Times New Roman" w:cs="Times New Roman" w:eastAsiaTheme="minorEastAsia"/>
                      <w:b w:val="0"/>
                      <w:bCs/>
                      <w:szCs w:val="21"/>
                      <w:lang w:eastAsia="zh-CN"/>
                    </w:rPr>
                    <w:t>水处理间</w:t>
                  </w:r>
                </w:p>
              </w:tc>
            </w:tr>
          </w:tbl>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2" w:firstLineChars="200"/>
              <w:textAlignment w:val="auto"/>
              <w:rPr>
                <w:rFonts w:hint="eastAsia"/>
                <w:b/>
                <w:bCs/>
                <w:sz w:val="24"/>
                <w:lang w:val="en-US" w:eastAsia="zh-CN"/>
              </w:rPr>
            </w:pPr>
            <w:r>
              <w:rPr>
                <w:rFonts w:hint="eastAsia"/>
                <w:b/>
                <w:bCs/>
                <w:sz w:val="24"/>
                <w:lang w:val="en-US" w:eastAsia="zh-CN"/>
              </w:rPr>
              <w:t>4、项目主要原料</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sz w:val="24"/>
              </w:rPr>
            </w:pPr>
            <w:r>
              <w:rPr>
                <w:rFonts w:hint="eastAsia" w:ascii="宋体" w:hAnsi="宋体"/>
                <w:sz w:val="24"/>
              </w:rPr>
              <w:t>项目使用主要</w:t>
            </w:r>
            <w:r>
              <w:rPr>
                <w:rFonts w:hint="eastAsia" w:ascii="宋体" w:hAnsi="宋体"/>
                <w:sz w:val="24"/>
                <w:lang w:val="en-US" w:eastAsia="zh-CN"/>
              </w:rPr>
              <w:t>原辅材料</w:t>
            </w:r>
            <w:r>
              <w:rPr>
                <w:rFonts w:hint="eastAsia" w:ascii="宋体" w:hAnsi="宋体"/>
                <w:sz w:val="24"/>
              </w:rPr>
              <w:t>消耗见表</w:t>
            </w:r>
            <w:r>
              <w:rPr>
                <w:rFonts w:hint="eastAsia" w:cs="Times New Roman"/>
                <w:sz w:val="24"/>
                <w:lang w:val="en-US" w:eastAsia="zh-CN"/>
              </w:rPr>
              <w:t>3</w:t>
            </w:r>
            <w:r>
              <w:rPr>
                <w:rFonts w:hint="eastAsia" w:ascii="宋体" w:hAnsi="宋体"/>
                <w:sz w:val="24"/>
              </w:rPr>
              <w:t>。</w:t>
            </w:r>
          </w:p>
          <w:p>
            <w:pPr>
              <w:pStyle w:val="79"/>
              <w:keepNext w:val="0"/>
              <w:keepLines w:val="0"/>
              <w:pageBreakBefore w:val="0"/>
              <w:widowControl w:val="0"/>
              <w:kinsoku/>
              <w:wordWrap/>
              <w:overflowPunct/>
              <w:topLinePunct w:val="0"/>
              <w:autoSpaceDE/>
              <w:autoSpaceDN/>
              <w:bidi w:val="0"/>
              <w:adjustRightInd w:val="0"/>
              <w:snapToGrid w:val="0"/>
              <w:spacing w:after="0" w:afterLines="0" w:line="360" w:lineRule="auto"/>
              <w:textAlignment w:val="auto"/>
              <w:rPr>
                <w:sz w:val="21"/>
                <w:szCs w:val="21"/>
              </w:rPr>
            </w:pPr>
            <w:r>
              <w:rPr>
                <w:sz w:val="21"/>
                <w:szCs w:val="21"/>
              </w:rPr>
              <w:t>表</w:t>
            </w:r>
            <w:r>
              <w:rPr>
                <w:spacing w:val="-51"/>
                <w:sz w:val="21"/>
                <w:szCs w:val="21"/>
              </w:rPr>
              <w:t xml:space="preserve"> </w:t>
            </w:r>
            <w:r>
              <w:rPr>
                <w:rFonts w:hint="eastAsia" w:eastAsia="宋体"/>
                <w:spacing w:val="-3"/>
                <w:sz w:val="21"/>
                <w:szCs w:val="21"/>
                <w:lang w:val="en-US" w:eastAsia="zh-CN"/>
              </w:rPr>
              <w:t>3</w:t>
            </w:r>
            <w:r>
              <w:rPr>
                <w:sz w:val="21"/>
                <w:szCs w:val="21"/>
              </w:rPr>
              <w:t>项目主要</w:t>
            </w:r>
            <w:r>
              <w:rPr>
                <w:rFonts w:hint="eastAsia"/>
                <w:sz w:val="21"/>
                <w:szCs w:val="21"/>
                <w:lang w:val="en-US" w:eastAsia="zh-CN"/>
              </w:rPr>
              <w:t>原辅材料</w:t>
            </w:r>
            <w:r>
              <w:rPr>
                <w:sz w:val="21"/>
                <w:szCs w:val="21"/>
              </w:rPr>
              <w:t>消耗一览表</w:t>
            </w:r>
          </w:p>
          <w:tbl>
            <w:tblPr>
              <w:tblStyle w:val="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3"/>
              <w:gridCol w:w="1083"/>
              <w:gridCol w:w="1847"/>
              <w:gridCol w:w="1462"/>
              <w:gridCol w:w="1297"/>
              <w:gridCol w:w="13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613" w:type="dxa"/>
                  <w:noWrap w:val="0"/>
                  <w:vAlign w:val="center"/>
                </w:tcPr>
                <w:p>
                  <w:pPr>
                    <w:pStyle w:val="3"/>
                    <w:keepNext w:val="0"/>
                    <w:keepLines w:val="0"/>
                    <w:pageBreakBefore w:val="0"/>
                    <w:widowControl w:val="0"/>
                    <w:kinsoku/>
                    <w:wordWrap/>
                    <w:overflowPunct/>
                    <w:topLinePunct w:val="0"/>
                    <w:autoSpaceDE/>
                    <w:autoSpaceDN/>
                    <w:bidi w:val="0"/>
                    <w:adjustRightInd w:val="0"/>
                    <w:snapToGrid w:val="0"/>
                    <w:spacing w:after="0" w:afterLines="0" w:line="240" w:lineRule="auto"/>
                    <w:ind w:left="0" w:leftChars="0" w:firstLine="0"/>
                    <w:jc w:val="center"/>
                    <w:textAlignment w:val="auto"/>
                    <w:rPr>
                      <w:rFonts w:hint="default" w:ascii="Times New Roman" w:hAnsi="Times New Roman" w:cs="Times New Roman" w:eastAsiaTheme="minorEastAsia"/>
                      <w:b w:val="0"/>
                      <w:bCs/>
                      <w:spacing w:val="0"/>
                      <w:kern w:val="2"/>
                      <w:sz w:val="21"/>
                      <w:szCs w:val="21"/>
                    </w:rPr>
                  </w:pPr>
                  <w:r>
                    <w:rPr>
                      <w:rFonts w:hint="default" w:ascii="Times New Roman" w:hAnsi="Times New Roman" w:cs="Times New Roman" w:eastAsiaTheme="minorEastAsia"/>
                      <w:b w:val="0"/>
                      <w:bCs/>
                      <w:spacing w:val="0"/>
                      <w:kern w:val="2"/>
                      <w:sz w:val="21"/>
                      <w:szCs w:val="21"/>
                    </w:rPr>
                    <w:t>名称</w:t>
                  </w:r>
                </w:p>
              </w:tc>
              <w:tc>
                <w:tcPr>
                  <w:tcW w:w="1083" w:type="dxa"/>
                  <w:noWrap w:val="0"/>
                  <w:vAlign w:val="center"/>
                </w:tcPr>
                <w:p>
                  <w:pPr>
                    <w:pStyle w:val="3"/>
                    <w:keepNext w:val="0"/>
                    <w:keepLines w:val="0"/>
                    <w:pageBreakBefore w:val="0"/>
                    <w:widowControl w:val="0"/>
                    <w:kinsoku/>
                    <w:wordWrap/>
                    <w:overflowPunct/>
                    <w:topLinePunct w:val="0"/>
                    <w:autoSpaceDE/>
                    <w:autoSpaceDN/>
                    <w:bidi w:val="0"/>
                    <w:adjustRightInd w:val="0"/>
                    <w:snapToGrid w:val="0"/>
                    <w:spacing w:after="0" w:afterLines="0" w:line="240" w:lineRule="auto"/>
                    <w:ind w:left="0" w:leftChars="0" w:firstLine="0"/>
                    <w:jc w:val="center"/>
                    <w:textAlignment w:val="auto"/>
                    <w:rPr>
                      <w:rFonts w:hint="default" w:ascii="Times New Roman" w:hAnsi="Times New Roman" w:cs="Times New Roman" w:eastAsiaTheme="minorEastAsia"/>
                      <w:b w:val="0"/>
                      <w:bCs/>
                      <w:spacing w:val="0"/>
                      <w:kern w:val="2"/>
                      <w:sz w:val="21"/>
                      <w:szCs w:val="21"/>
                    </w:rPr>
                  </w:pPr>
                  <w:r>
                    <w:rPr>
                      <w:rFonts w:hint="default" w:ascii="Times New Roman" w:hAnsi="Times New Roman" w:cs="Times New Roman" w:eastAsiaTheme="minorEastAsia"/>
                      <w:b w:val="0"/>
                      <w:bCs/>
                      <w:spacing w:val="0"/>
                      <w:kern w:val="2"/>
                      <w:sz w:val="21"/>
                      <w:szCs w:val="21"/>
                    </w:rPr>
                    <w:t>年用量</w:t>
                  </w:r>
                </w:p>
              </w:tc>
              <w:tc>
                <w:tcPr>
                  <w:tcW w:w="1847" w:type="dxa"/>
                  <w:noWrap w:val="0"/>
                  <w:vAlign w:val="center"/>
                </w:tcPr>
                <w:p>
                  <w:pPr>
                    <w:pStyle w:val="3"/>
                    <w:keepNext w:val="0"/>
                    <w:keepLines w:val="0"/>
                    <w:pageBreakBefore w:val="0"/>
                    <w:widowControl w:val="0"/>
                    <w:kinsoku/>
                    <w:wordWrap/>
                    <w:overflowPunct/>
                    <w:topLinePunct w:val="0"/>
                    <w:autoSpaceDE/>
                    <w:autoSpaceDN/>
                    <w:bidi w:val="0"/>
                    <w:adjustRightInd w:val="0"/>
                    <w:snapToGrid w:val="0"/>
                    <w:spacing w:after="0" w:afterLines="0" w:line="240" w:lineRule="auto"/>
                    <w:ind w:left="0" w:leftChars="0" w:firstLine="0"/>
                    <w:jc w:val="center"/>
                    <w:textAlignment w:val="auto"/>
                    <w:rPr>
                      <w:rFonts w:hint="default" w:ascii="Times New Roman" w:hAnsi="Times New Roman" w:cs="Times New Roman" w:eastAsiaTheme="minorEastAsia"/>
                      <w:b w:val="0"/>
                      <w:bCs/>
                      <w:spacing w:val="0"/>
                      <w:kern w:val="2"/>
                      <w:sz w:val="21"/>
                      <w:szCs w:val="21"/>
                    </w:rPr>
                  </w:pPr>
                  <w:r>
                    <w:rPr>
                      <w:rFonts w:hint="default" w:ascii="Times New Roman" w:hAnsi="Times New Roman" w:cs="Times New Roman" w:eastAsiaTheme="minorEastAsia"/>
                      <w:b w:val="0"/>
                      <w:bCs/>
                      <w:spacing w:val="0"/>
                      <w:kern w:val="2"/>
                      <w:sz w:val="21"/>
                      <w:szCs w:val="21"/>
                    </w:rPr>
                    <w:t>日常存储量</w:t>
                  </w:r>
                </w:p>
              </w:tc>
              <w:tc>
                <w:tcPr>
                  <w:tcW w:w="1462" w:type="dxa"/>
                  <w:noWrap w:val="0"/>
                  <w:vAlign w:val="center"/>
                </w:tcPr>
                <w:p>
                  <w:pPr>
                    <w:pStyle w:val="3"/>
                    <w:keepNext w:val="0"/>
                    <w:keepLines w:val="0"/>
                    <w:pageBreakBefore w:val="0"/>
                    <w:widowControl w:val="0"/>
                    <w:kinsoku/>
                    <w:wordWrap/>
                    <w:overflowPunct/>
                    <w:topLinePunct w:val="0"/>
                    <w:autoSpaceDE/>
                    <w:autoSpaceDN/>
                    <w:bidi w:val="0"/>
                    <w:adjustRightInd w:val="0"/>
                    <w:snapToGrid w:val="0"/>
                    <w:spacing w:after="0" w:afterLines="0" w:line="240" w:lineRule="auto"/>
                    <w:ind w:left="0" w:leftChars="0" w:firstLine="0"/>
                    <w:jc w:val="center"/>
                    <w:textAlignment w:val="auto"/>
                    <w:rPr>
                      <w:rFonts w:hint="default" w:ascii="Times New Roman" w:hAnsi="Times New Roman" w:cs="Times New Roman" w:eastAsiaTheme="minorEastAsia"/>
                      <w:b w:val="0"/>
                      <w:bCs/>
                      <w:spacing w:val="0"/>
                      <w:kern w:val="2"/>
                      <w:sz w:val="21"/>
                      <w:szCs w:val="21"/>
                    </w:rPr>
                  </w:pPr>
                  <w:r>
                    <w:rPr>
                      <w:rFonts w:hint="default" w:ascii="Times New Roman" w:hAnsi="Times New Roman" w:cs="Times New Roman" w:eastAsiaTheme="minorEastAsia"/>
                      <w:b w:val="0"/>
                      <w:bCs/>
                      <w:spacing w:val="0"/>
                      <w:kern w:val="2"/>
                      <w:sz w:val="21"/>
                      <w:szCs w:val="21"/>
                    </w:rPr>
                    <w:t>主要成分</w:t>
                  </w:r>
                </w:p>
              </w:tc>
              <w:tc>
                <w:tcPr>
                  <w:tcW w:w="1297" w:type="dxa"/>
                  <w:noWrap w:val="0"/>
                  <w:vAlign w:val="center"/>
                </w:tcPr>
                <w:p>
                  <w:pPr>
                    <w:pStyle w:val="3"/>
                    <w:keepNext w:val="0"/>
                    <w:keepLines w:val="0"/>
                    <w:pageBreakBefore w:val="0"/>
                    <w:widowControl w:val="0"/>
                    <w:kinsoku/>
                    <w:wordWrap/>
                    <w:overflowPunct/>
                    <w:topLinePunct w:val="0"/>
                    <w:autoSpaceDE/>
                    <w:autoSpaceDN/>
                    <w:bidi w:val="0"/>
                    <w:adjustRightInd w:val="0"/>
                    <w:snapToGrid w:val="0"/>
                    <w:spacing w:after="0" w:afterLines="0" w:line="240" w:lineRule="auto"/>
                    <w:ind w:left="0" w:leftChars="0" w:firstLine="0"/>
                    <w:jc w:val="center"/>
                    <w:textAlignment w:val="auto"/>
                    <w:rPr>
                      <w:rFonts w:hint="default" w:ascii="Times New Roman" w:hAnsi="Times New Roman" w:cs="Times New Roman" w:eastAsiaTheme="minorEastAsia"/>
                      <w:b w:val="0"/>
                      <w:bCs/>
                      <w:spacing w:val="0"/>
                      <w:kern w:val="2"/>
                      <w:sz w:val="21"/>
                      <w:szCs w:val="21"/>
                    </w:rPr>
                  </w:pPr>
                  <w:r>
                    <w:rPr>
                      <w:rFonts w:hint="default" w:ascii="Times New Roman" w:hAnsi="Times New Roman" w:cs="Times New Roman" w:eastAsiaTheme="minorEastAsia"/>
                      <w:b w:val="0"/>
                      <w:bCs/>
                      <w:spacing w:val="0"/>
                      <w:kern w:val="2"/>
                      <w:sz w:val="21"/>
                      <w:szCs w:val="21"/>
                    </w:rPr>
                    <w:t>储存形态</w:t>
                  </w:r>
                </w:p>
              </w:tc>
              <w:tc>
                <w:tcPr>
                  <w:tcW w:w="1325" w:type="dxa"/>
                  <w:noWrap w:val="0"/>
                  <w:vAlign w:val="center"/>
                </w:tcPr>
                <w:p>
                  <w:pPr>
                    <w:pStyle w:val="3"/>
                    <w:keepNext w:val="0"/>
                    <w:keepLines w:val="0"/>
                    <w:pageBreakBefore w:val="0"/>
                    <w:widowControl w:val="0"/>
                    <w:kinsoku/>
                    <w:wordWrap/>
                    <w:overflowPunct/>
                    <w:topLinePunct w:val="0"/>
                    <w:autoSpaceDE/>
                    <w:autoSpaceDN/>
                    <w:bidi w:val="0"/>
                    <w:adjustRightInd w:val="0"/>
                    <w:snapToGrid w:val="0"/>
                    <w:spacing w:after="0" w:afterLines="0" w:line="240" w:lineRule="auto"/>
                    <w:ind w:left="0" w:leftChars="0" w:firstLine="0"/>
                    <w:jc w:val="center"/>
                    <w:textAlignment w:val="auto"/>
                    <w:rPr>
                      <w:rFonts w:hint="default" w:ascii="Times New Roman" w:hAnsi="Times New Roman" w:cs="Times New Roman" w:eastAsiaTheme="minorEastAsia"/>
                      <w:b w:val="0"/>
                      <w:bCs/>
                      <w:spacing w:val="0"/>
                      <w:kern w:val="2"/>
                      <w:sz w:val="21"/>
                      <w:szCs w:val="21"/>
                    </w:rPr>
                  </w:pPr>
                  <w:r>
                    <w:rPr>
                      <w:rFonts w:hint="default" w:ascii="Times New Roman" w:hAnsi="Times New Roman" w:cs="Times New Roman" w:eastAsiaTheme="minorEastAsia"/>
                      <w:b w:val="0"/>
                      <w:bCs/>
                      <w:spacing w:val="0"/>
                      <w:kern w:val="2"/>
                      <w:sz w:val="21"/>
                      <w:szCs w:val="21"/>
                    </w:rPr>
                    <w:t>储存位置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61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jc w:val="center"/>
                    <w:textAlignment w:val="auto"/>
                    <w:rPr>
                      <w:rFonts w:hint="default" w:ascii="Times New Roman" w:hAnsi="Times New Roman" w:cs="Times New Roman" w:eastAsiaTheme="minorEastAsia"/>
                      <w:b w:val="0"/>
                      <w:bCs/>
                      <w:sz w:val="21"/>
                      <w:szCs w:val="21"/>
                      <w:lang w:eastAsia="zh-CN"/>
                    </w:rPr>
                  </w:pPr>
                  <w:r>
                    <w:rPr>
                      <w:rFonts w:hint="eastAsia" w:cs="Times New Roman" w:eastAsiaTheme="minorEastAsia"/>
                      <w:b w:val="0"/>
                      <w:bCs/>
                      <w:sz w:val="21"/>
                      <w:szCs w:val="21"/>
                      <w:lang w:val="en-US" w:eastAsia="zh-CN"/>
                    </w:rPr>
                    <w:t>茶叶、樱花等</w:t>
                  </w:r>
                  <w:r>
                    <w:rPr>
                      <w:rFonts w:hint="default" w:ascii="Times New Roman" w:hAnsi="Times New Roman" w:cs="Times New Roman" w:eastAsiaTheme="minorEastAsia"/>
                      <w:b w:val="0"/>
                      <w:bCs/>
                      <w:sz w:val="21"/>
                      <w:szCs w:val="21"/>
                      <w:lang w:eastAsia="zh-CN"/>
                    </w:rPr>
                    <w:t>植物花、叶</w:t>
                  </w:r>
                </w:p>
              </w:tc>
              <w:tc>
                <w:tcPr>
                  <w:tcW w:w="108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jc w:val="center"/>
                    <w:textAlignment w:val="auto"/>
                    <w:rPr>
                      <w:rFonts w:hint="default" w:ascii="Times New Roman" w:hAnsi="Times New Roman" w:cs="Times New Roman" w:eastAsiaTheme="minorEastAsia"/>
                      <w:b w:val="0"/>
                      <w:bCs/>
                      <w:sz w:val="21"/>
                      <w:szCs w:val="21"/>
                      <w:lang w:val="en-US" w:eastAsia="zh-CN"/>
                    </w:rPr>
                  </w:pPr>
                  <w:r>
                    <w:rPr>
                      <w:rFonts w:hint="default" w:ascii="Times New Roman" w:hAnsi="Times New Roman" w:cs="Times New Roman" w:eastAsiaTheme="minorEastAsia"/>
                      <w:b w:val="0"/>
                      <w:bCs/>
                      <w:sz w:val="21"/>
                      <w:szCs w:val="21"/>
                      <w:lang w:val="en-US" w:eastAsia="zh-CN"/>
                    </w:rPr>
                    <w:t>17</w:t>
                  </w:r>
                  <w:r>
                    <w:rPr>
                      <w:rFonts w:hint="eastAsia" w:ascii="Times New Roman" w:hAnsi="Times New Roman" w:cs="Times New Roman" w:eastAsiaTheme="minorEastAsia"/>
                      <w:b w:val="0"/>
                      <w:bCs/>
                      <w:sz w:val="21"/>
                      <w:szCs w:val="21"/>
                      <w:lang w:val="en-US" w:eastAsia="zh-CN"/>
                    </w:rPr>
                    <w:t>t</w:t>
                  </w:r>
                </w:p>
              </w:tc>
              <w:tc>
                <w:tcPr>
                  <w:tcW w:w="184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jc w:val="center"/>
                    <w:textAlignment w:val="auto"/>
                    <w:rPr>
                      <w:rFonts w:hint="default" w:ascii="Times New Roman" w:hAnsi="Times New Roman" w:cs="Times New Roman" w:eastAsiaTheme="minorEastAsia"/>
                      <w:b w:val="0"/>
                      <w:bCs/>
                      <w:sz w:val="21"/>
                      <w:szCs w:val="21"/>
                      <w:lang w:val="en-US" w:eastAsia="zh-CN"/>
                    </w:rPr>
                  </w:pPr>
                  <w:r>
                    <w:rPr>
                      <w:rFonts w:hint="default" w:ascii="Times New Roman" w:hAnsi="Times New Roman" w:cs="Times New Roman" w:eastAsiaTheme="minorEastAsia"/>
                      <w:b w:val="0"/>
                      <w:bCs/>
                      <w:sz w:val="21"/>
                      <w:szCs w:val="21"/>
                      <w:lang w:val="en-US" w:eastAsia="zh-CN"/>
                    </w:rPr>
                    <w:t>0.4</w:t>
                  </w:r>
                  <w:r>
                    <w:rPr>
                      <w:rFonts w:hint="eastAsia" w:ascii="Times New Roman" w:hAnsi="Times New Roman" w:cs="Times New Roman" w:eastAsiaTheme="minorEastAsia"/>
                      <w:b w:val="0"/>
                      <w:bCs/>
                      <w:sz w:val="21"/>
                      <w:szCs w:val="21"/>
                      <w:lang w:val="en-US" w:eastAsia="zh-CN"/>
                    </w:rPr>
                    <w:t>t</w:t>
                  </w:r>
                </w:p>
              </w:tc>
              <w:tc>
                <w:tcPr>
                  <w:tcW w:w="146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jc w:val="center"/>
                    <w:textAlignment w:val="auto"/>
                    <w:rPr>
                      <w:rFonts w:hint="default" w:ascii="Times New Roman" w:hAnsi="Times New Roman" w:cs="Times New Roman" w:eastAsiaTheme="minorEastAsia"/>
                      <w:b w:val="0"/>
                      <w:bCs/>
                      <w:sz w:val="21"/>
                      <w:szCs w:val="21"/>
                      <w:lang w:eastAsia="zh-CN"/>
                    </w:rPr>
                  </w:pPr>
                  <w:r>
                    <w:rPr>
                      <w:rFonts w:hint="default" w:ascii="Times New Roman" w:hAnsi="Times New Roman" w:cs="Times New Roman" w:eastAsiaTheme="minorEastAsia"/>
                      <w:b w:val="0"/>
                      <w:bCs/>
                      <w:sz w:val="21"/>
                      <w:szCs w:val="21"/>
                      <w:lang w:eastAsia="zh-CN"/>
                    </w:rPr>
                    <w:t>植物</w:t>
                  </w:r>
                </w:p>
              </w:tc>
              <w:tc>
                <w:tcPr>
                  <w:tcW w:w="129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jc w:val="center"/>
                    <w:textAlignment w:val="auto"/>
                    <w:rPr>
                      <w:rFonts w:hint="default" w:ascii="Times New Roman" w:hAnsi="Times New Roman" w:cs="Times New Roman" w:eastAsiaTheme="minorEastAsia"/>
                      <w:b w:val="0"/>
                      <w:bCs/>
                      <w:sz w:val="21"/>
                      <w:szCs w:val="21"/>
                      <w:lang w:val="en-US" w:eastAsia="zh-CN"/>
                    </w:rPr>
                  </w:pPr>
                  <w:r>
                    <w:rPr>
                      <w:rFonts w:hint="default" w:ascii="Times New Roman" w:hAnsi="Times New Roman" w:cs="Times New Roman" w:eastAsiaTheme="minorEastAsia"/>
                      <w:b w:val="0"/>
                      <w:bCs/>
                      <w:sz w:val="21"/>
                      <w:szCs w:val="21"/>
                      <w:lang w:val="en-US" w:eastAsia="zh-CN"/>
                    </w:rPr>
                    <w:t>箱装</w:t>
                  </w:r>
                </w:p>
              </w:tc>
              <w:tc>
                <w:tcPr>
                  <w:tcW w:w="132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jc w:val="center"/>
                    <w:textAlignment w:val="auto"/>
                    <w:rPr>
                      <w:rFonts w:hint="default" w:ascii="Times New Roman" w:hAnsi="Times New Roman" w:cs="Times New Roman" w:eastAsiaTheme="minorEastAsia"/>
                      <w:b w:val="0"/>
                      <w:bCs/>
                      <w:sz w:val="21"/>
                      <w:szCs w:val="21"/>
                      <w:lang w:eastAsia="zh-CN"/>
                    </w:rPr>
                  </w:pPr>
                  <w:r>
                    <w:rPr>
                      <w:rFonts w:hint="default" w:ascii="Times New Roman" w:hAnsi="Times New Roman" w:cs="Times New Roman" w:eastAsiaTheme="minorEastAsia"/>
                      <w:b w:val="0"/>
                      <w:bCs/>
                      <w:sz w:val="21"/>
                      <w:szCs w:val="21"/>
                      <w:lang w:eastAsia="zh-CN"/>
                    </w:rPr>
                    <w:t>保鲜仓库</w:t>
                  </w:r>
                </w:p>
              </w:tc>
            </w:tr>
          </w:tbl>
          <w:p>
            <w:pPr>
              <w:keepNext w:val="0"/>
              <w:keepLines w:val="0"/>
              <w:pageBreakBefore w:val="0"/>
              <w:widowControl w:val="0"/>
              <w:numPr>
                <w:ilvl w:val="0"/>
                <w:numId w:val="2"/>
              </w:numPr>
              <w:kinsoku/>
              <w:wordWrap/>
              <w:overflowPunct/>
              <w:topLinePunct w:val="0"/>
              <w:autoSpaceDE/>
              <w:autoSpaceDN/>
              <w:bidi w:val="0"/>
              <w:adjustRightInd w:val="0"/>
              <w:snapToGrid w:val="0"/>
              <w:spacing w:line="360" w:lineRule="auto"/>
              <w:ind w:firstLine="482" w:firstLineChars="200"/>
              <w:textAlignment w:val="auto"/>
              <w:rPr>
                <w:rFonts w:hint="default"/>
                <w:sz w:val="24"/>
                <w:szCs w:val="24"/>
                <w:lang w:val="en-US" w:eastAsia="zh-CN"/>
              </w:rPr>
            </w:pPr>
            <w:r>
              <w:rPr>
                <w:rFonts w:hint="eastAsia"/>
                <w:b/>
                <w:bCs/>
                <w:sz w:val="24"/>
                <w:szCs w:val="24"/>
                <w:lang w:val="en-US" w:eastAsia="zh-CN"/>
              </w:rPr>
              <w:t>项目产品方案</w:t>
            </w:r>
          </w:p>
          <w:p>
            <w:pPr>
              <w:pStyle w:val="2"/>
              <w:keepNext w:val="0"/>
              <w:keepLines w:val="0"/>
              <w:pageBreakBefore w:val="0"/>
              <w:widowControl w:val="0"/>
              <w:kinsoku/>
              <w:wordWrap/>
              <w:overflowPunct/>
              <w:topLinePunct w:val="0"/>
              <w:autoSpaceDE/>
              <w:autoSpaceDN/>
              <w:bidi w:val="0"/>
              <w:adjustRightInd w:val="0"/>
              <w:snapToGrid w:val="0"/>
              <w:spacing w:after="0" w:afterLines="0" w:line="360" w:lineRule="auto"/>
              <w:ind w:left="0" w:leftChars="0" w:firstLine="480" w:firstLineChars="200"/>
              <w:textAlignment w:val="baseline"/>
              <w:rPr>
                <w:rFonts w:hint="default" w:ascii="Times New Roman" w:hAnsi="Times New Roman" w:eastAsia="宋体" w:cs="Times New Roman"/>
                <w:kern w:val="2"/>
                <w:sz w:val="24"/>
                <w:szCs w:val="22"/>
                <w:lang w:val="en-US" w:eastAsia="zh-CN" w:bidi="ar-SA"/>
              </w:rPr>
            </w:pPr>
            <w:r>
              <w:rPr>
                <w:rFonts w:hint="default" w:ascii="Times New Roman" w:hAnsi="Times New Roman" w:eastAsia="宋体" w:cs="Times New Roman"/>
                <w:kern w:val="2"/>
                <w:sz w:val="24"/>
                <w:szCs w:val="22"/>
                <w:lang w:val="en-US" w:eastAsia="zh-CN" w:bidi="ar-SA"/>
              </w:rPr>
              <w:t>项目产品</w:t>
            </w:r>
            <w:r>
              <w:rPr>
                <w:rFonts w:hint="eastAsia" w:cs="Times New Roman"/>
                <w:kern w:val="2"/>
                <w:sz w:val="24"/>
                <w:szCs w:val="22"/>
                <w:lang w:val="en-US" w:eastAsia="zh-CN" w:bidi="ar-SA"/>
              </w:rPr>
              <w:t>主要从新鲜的植物花叶中，提取天然植物提取物，作为食品添加剂，具有抗氧化、改善色味、提高食品营养价值等特点，具体的产品</w:t>
            </w:r>
            <w:r>
              <w:rPr>
                <w:rFonts w:hint="default" w:ascii="Times New Roman" w:hAnsi="Times New Roman" w:eastAsia="宋体" w:cs="Times New Roman"/>
                <w:kern w:val="2"/>
                <w:sz w:val="24"/>
                <w:szCs w:val="22"/>
                <w:lang w:val="en-US" w:eastAsia="zh-CN" w:bidi="ar-SA"/>
              </w:rPr>
              <w:t>方案见表4。</w:t>
            </w:r>
          </w:p>
          <w:p>
            <w:pPr>
              <w:keepNext w:val="0"/>
              <w:keepLines w:val="0"/>
              <w:pageBreakBefore w:val="0"/>
              <w:widowControl w:val="0"/>
              <w:kinsoku/>
              <w:wordWrap/>
              <w:overflowPunct/>
              <w:topLinePunct w:val="0"/>
              <w:autoSpaceDE/>
              <w:autoSpaceDN/>
              <w:bidi w:val="0"/>
              <w:adjustRightInd w:val="0"/>
              <w:snapToGrid w:val="0"/>
              <w:spacing w:line="360" w:lineRule="auto"/>
              <w:jc w:val="center"/>
              <w:rPr>
                <w:rFonts w:hint="default" w:ascii="Times New Roman" w:hAnsi="Times New Roman" w:eastAsia="黑体" w:cs="Times New Roman"/>
                <w:sz w:val="21"/>
                <w:szCs w:val="21"/>
                <w:lang w:val="en-US" w:eastAsia="zh-CN"/>
              </w:rPr>
            </w:pPr>
            <w:r>
              <w:rPr>
                <w:rFonts w:hint="default" w:ascii="Times New Roman" w:hAnsi="Times New Roman" w:eastAsia="黑体" w:cs="Times New Roman"/>
                <w:kern w:val="2"/>
                <w:sz w:val="21"/>
                <w:szCs w:val="21"/>
                <w:lang w:val="en-US" w:eastAsia="zh-CN" w:bidi="ar-SA"/>
              </w:rPr>
              <w:t>表4 项目产品方案一览表</w:t>
            </w:r>
          </w:p>
          <w:tbl>
            <w:tblPr>
              <w:tblStyle w:val="3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9"/>
              <w:gridCol w:w="983"/>
              <w:gridCol w:w="3250"/>
              <w:gridCol w:w="1117"/>
              <w:gridCol w:w="14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077" w:type="pct"/>
                  <w:noWrap w:val="0"/>
                  <w:vAlign w:val="center"/>
                </w:tcPr>
                <w:p>
                  <w:pPr>
                    <w:pStyle w:val="3"/>
                    <w:keepNext w:val="0"/>
                    <w:keepLines w:val="0"/>
                    <w:pageBreakBefore w:val="0"/>
                    <w:widowControl w:val="0"/>
                    <w:kinsoku/>
                    <w:wordWrap/>
                    <w:overflowPunct/>
                    <w:topLinePunct w:val="0"/>
                    <w:autoSpaceDE/>
                    <w:autoSpaceDN/>
                    <w:bidi w:val="0"/>
                    <w:adjustRightInd w:val="0"/>
                    <w:snapToGrid w:val="0"/>
                    <w:spacing w:after="0" w:afterLines="0" w:line="240" w:lineRule="auto"/>
                    <w:ind w:left="0" w:leftChars="0" w:firstLine="0"/>
                    <w:jc w:val="center"/>
                    <w:textAlignment w:val="auto"/>
                    <w:rPr>
                      <w:rFonts w:hint="default" w:ascii="Times New Roman" w:hAnsi="Times New Roman" w:cs="Times New Roman" w:eastAsiaTheme="minorEastAsia"/>
                      <w:b w:val="0"/>
                      <w:bCs/>
                      <w:spacing w:val="0"/>
                      <w:kern w:val="2"/>
                      <w:sz w:val="21"/>
                      <w:szCs w:val="21"/>
                    </w:rPr>
                  </w:pPr>
                  <w:r>
                    <w:rPr>
                      <w:rFonts w:hint="eastAsia"/>
                      <w:lang w:val="en-US" w:eastAsia="zh-CN"/>
                    </w:rPr>
                    <w:t xml:space="preserve"> </w:t>
                  </w:r>
                  <w:r>
                    <w:rPr>
                      <w:rFonts w:hint="default" w:ascii="Times New Roman" w:hAnsi="Times New Roman" w:cs="Times New Roman" w:eastAsiaTheme="minorEastAsia"/>
                      <w:b w:val="0"/>
                      <w:bCs/>
                      <w:spacing w:val="0"/>
                      <w:kern w:val="2"/>
                      <w:sz w:val="21"/>
                      <w:szCs w:val="21"/>
                    </w:rPr>
                    <w:t>名称</w:t>
                  </w:r>
                </w:p>
              </w:tc>
              <w:tc>
                <w:tcPr>
                  <w:tcW w:w="569" w:type="pct"/>
                  <w:noWrap w:val="0"/>
                  <w:vAlign w:val="center"/>
                </w:tcPr>
                <w:p>
                  <w:pPr>
                    <w:pStyle w:val="3"/>
                    <w:keepNext w:val="0"/>
                    <w:keepLines w:val="0"/>
                    <w:pageBreakBefore w:val="0"/>
                    <w:widowControl w:val="0"/>
                    <w:kinsoku/>
                    <w:wordWrap/>
                    <w:overflowPunct/>
                    <w:topLinePunct w:val="0"/>
                    <w:autoSpaceDE/>
                    <w:autoSpaceDN/>
                    <w:bidi w:val="0"/>
                    <w:adjustRightInd w:val="0"/>
                    <w:snapToGrid w:val="0"/>
                    <w:spacing w:after="0" w:afterLines="0" w:line="240" w:lineRule="auto"/>
                    <w:ind w:left="0" w:leftChars="0" w:firstLine="0"/>
                    <w:jc w:val="center"/>
                    <w:textAlignment w:val="auto"/>
                    <w:rPr>
                      <w:rFonts w:hint="default" w:ascii="Times New Roman" w:hAnsi="Times New Roman" w:cs="Times New Roman" w:eastAsiaTheme="minorEastAsia"/>
                      <w:b w:val="0"/>
                      <w:bCs/>
                      <w:spacing w:val="0"/>
                      <w:kern w:val="2"/>
                      <w:sz w:val="21"/>
                      <w:szCs w:val="21"/>
                    </w:rPr>
                  </w:pPr>
                  <w:r>
                    <w:rPr>
                      <w:rFonts w:hint="default" w:ascii="Times New Roman" w:hAnsi="Times New Roman" w:cs="Times New Roman" w:eastAsiaTheme="minorEastAsia"/>
                      <w:b w:val="0"/>
                      <w:bCs/>
                      <w:spacing w:val="0"/>
                      <w:kern w:val="2"/>
                      <w:sz w:val="21"/>
                      <w:szCs w:val="21"/>
                    </w:rPr>
                    <w:t>年</w:t>
                  </w:r>
                  <w:r>
                    <w:rPr>
                      <w:rFonts w:hint="eastAsia" w:cs="Times New Roman" w:eastAsiaTheme="minorEastAsia"/>
                      <w:b w:val="0"/>
                      <w:bCs/>
                      <w:spacing w:val="0"/>
                      <w:kern w:val="2"/>
                      <w:sz w:val="21"/>
                      <w:szCs w:val="21"/>
                      <w:lang w:val="en-US" w:eastAsia="zh-CN"/>
                    </w:rPr>
                    <w:t>产</w:t>
                  </w:r>
                  <w:r>
                    <w:rPr>
                      <w:rFonts w:hint="default" w:ascii="Times New Roman" w:hAnsi="Times New Roman" w:cs="Times New Roman" w:eastAsiaTheme="minorEastAsia"/>
                      <w:b w:val="0"/>
                      <w:bCs/>
                      <w:spacing w:val="0"/>
                      <w:kern w:val="2"/>
                      <w:sz w:val="21"/>
                      <w:szCs w:val="21"/>
                    </w:rPr>
                    <w:t>量</w:t>
                  </w:r>
                </w:p>
              </w:tc>
              <w:tc>
                <w:tcPr>
                  <w:tcW w:w="1884" w:type="pct"/>
                  <w:noWrap w:val="0"/>
                  <w:vAlign w:val="center"/>
                </w:tcPr>
                <w:p>
                  <w:pPr>
                    <w:pStyle w:val="3"/>
                    <w:keepNext w:val="0"/>
                    <w:keepLines w:val="0"/>
                    <w:pageBreakBefore w:val="0"/>
                    <w:widowControl w:val="0"/>
                    <w:kinsoku/>
                    <w:wordWrap/>
                    <w:overflowPunct/>
                    <w:topLinePunct w:val="0"/>
                    <w:autoSpaceDE/>
                    <w:autoSpaceDN/>
                    <w:bidi w:val="0"/>
                    <w:adjustRightInd w:val="0"/>
                    <w:snapToGrid w:val="0"/>
                    <w:spacing w:after="0" w:afterLines="0" w:line="240" w:lineRule="auto"/>
                    <w:ind w:left="0" w:leftChars="0" w:firstLine="0"/>
                    <w:jc w:val="center"/>
                    <w:textAlignment w:val="auto"/>
                    <w:rPr>
                      <w:rFonts w:hint="default" w:ascii="Times New Roman" w:hAnsi="Times New Roman" w:cs="Times New Roman" w:eastAsiaTheme="minorEastAsia"/>
                      <w:b w:val="0"/>
                      <w:bCs/>
                      <w:spacing w:val="0"/>
                      <w:kern w:val="2"/>
                      <w:sz w:val="21"/>
                      <w:szCs w:val="21"/>
                    </w:rPr>
                  </w:pPr>
                  <w:r>
                    <w:rPr>
                      <w:rFonts w:hint="default" w:ascii="Times New Roman" w:hAnsi="Times New Roman" w:cs="Times New Roman" w:eastAsiaTheme="minorEastAsia"/>
                      <w:b w:val="0"/>
                      <w:bCs/>
                      <w:spacing w:val="0"/>
                      <w:kern w:val="2"/>
                      <w:sz w:val="21"/>
                      <w:szCs w:val="21"/>
                    </w:rPr>
                    <w:t>主要成分</w:t>
                  </w:r>
                </w:p>
              </w:tc>
              <w:tc>
                <w:tcPr>
                  <w:tcW w:w="647" w:type="pct"/>
                  <w:noWrap w:val="0"/>
                  <w:vAlign w:val="center"/>
                </w:tcPr>
                <w:p>
                  <w:pPr>
                    <w:pStyle w:val="3"/>
                    <w:keepNext w:val="0"/>
                    <w:keepLines w:val="0"/>
                    <w:pageBreakBefore w:val="0"/>
                    <w:widowControl w:val="0"/>
                    <w:kinsoku/>
                    <w:wordWrap/>
                    <w:overflowPunct/>
                    <w:topLinePunct w:val="0"/>
                    <w:autoSpaceDE/>
                    <w:autoSpaceDN/>
                    <w:bidi w:val="0"/>
                    <w:adjustRightInd w:val="0"/>
                    <w:snapToGrid w:val="0"/>
                    <w:spacing w:after="0" w:afterLines="0" w:line="240" w:lineRule="auto"/>
                    <w:ind w:left="0" w:leftChars="0" w:firstLine="0"/>
                    <w:jc w:val="center"/>
                    <w:textAlignment w:val="auto"/>
                    <w:rPr>
                      <w:rFonts w:hint="default" w:ascii="Times New Roman" w:hAnsi="Times New Roman" w:cs="Times New Roman" w:eastAsiaTheme="minorEastAsia"/>
                      <w:b w:val="0"/>
                      <w:bCs/>
                      <w:spacing w:val="0"/>
                      <w:kern w:val="2"/>
                      <w:sz w:val="21"/>
                      <w:szCs w:val="21"/>
                    </w:rPr>
                  </w:pPr>
                  <w:r>
                    <w:rPr>
                      <w:rFonts w:hint="default" w:ascii="Times New Roman" w:hAnsi="Times New Roman" w:cs="Times New Roman" w:eastAsiaTheme="minorEastAsia"/>
                      <w:b w:val="0"/>
                      <w:bCs/>
                      <w:spacing w:val="0"/>
                      <w:kern w:val="2"/>
                      <w:sz w:val="21"/>
                      <w:szCs w:val="21"/>
                    </w:rPr>
                    <w:t>储存形态</w:t>
                  </w:r>
                </w:p>
              </w:tc>
              <w:tc>
                <w:tcPr>
                  <w:tcW w:w="820" w:type="pct"/>
                  <w:noWrap w:val="0"/>
                  <w:vAlign w:val="center"/>
                </w:tcPr>
                <w:p>
                  <w:pPr>
                    <w:pStyle w:val="3"/>
                    <w:keepNext w:val="0"/>
                    <w:keepLines w:val="0"/>
                    <w:pageBreakBefore w:val="0"/>
                    <w:widowControl w:val="0"/>
                    <w:kinsoku/>
                    <w:wordWrap/>
                    <w:overflowPunct/>
                    <w:topLinePunct w:val="0"/>
                    <w:autoSpaceDE/>
                    <w:autoSpaceDN/>
                    <w:bidi w:val="0"/>
                    <w:adjustRightInd w:val="0"/>
                    <w:snapToGrid w:val="0"/>
                    <w:spacing w:after="0" w:afterLines="0" w:line="240" w:lineRule="auto"/>
                    <w:ind w:left="0" w:leftChars="0" w:firstLine="0"/>
                    <w:jc w:val="center"/>
                    <w:textAlignment w:val="auto"/>
                    <w:rPr>
                      <w:rFonts w:hint="default" w:ascii="Times New Roman" w:hAnsi="Times New Roman" w:cs="Times New Roman" w:eastAsiaTheme="minorEastAsia"/>
                      <w:b w:val="0"/>
                      <w:bCs/>
                      <w:spacing w:val="0"/>
                      <w:kern w:val="2"/>
                      <w:sz w:val="21"/>
                      <w:szCs w:val="21"/>
                    </w:rPr>
                  </w:pPr>
                  <w:r>
                    <w:rPr>
                      <w:rFonts w:hint="default" w:ascii="Times New Roman" w:hAnsi="Times New Roman" w:cs="Times New Roman" w:eastAsiaTheme="minorEastAsia"/>
                      <w:b w:val="0"/>
                      <w:bCs/>
                      <w:spacing w:val="0"/>
                      <w:kern w:val="2"/>
                      <w:sz w:val="21"/>
                      <w:szCs w:val="21"/>
                    </w:rPr>
                    <w:t>储存位置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077" w:type="pct"/>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jc w:val="center"/>
                    <w:textAlignment w:val="auto"/>
                    <w:rPr>
                      <w:rFonts w:hint="eastAsia" w:cs="Times New Roman" w:eastAsiaTheme="minorEastAsia"/>
                      <w:b w:val="0"/>
                      <w:bCs/>
                      <w:sz w:val="21"/>
                      <w:szCs w:val="21"/>
                      <w:lang w:val="en-US" w:eastAsia="zh-CN"/>
                    </w:rPr>
                  </w:pPr>
                  <w:r>
                    <w:rPr>
                      <w:rFonts w:hint="eastAsia" w:cs="Times New Roman" w:eastAsiaTheme="minorEastAsia"/>
                      <w:b w:val="0"/>
                      <w:bCs/>
                      <w:sz w:val="21"/>
                      <w:szCs w:val="21"/>
                      <w:lang w:val="en-US" w:eastAsia="zh-CN"/>
                    </w:rPr>
                    <w:t>天然食品添加剂</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jc w:val="center"/>
                    <w:textAlignment w:val="auto"/>
                    <w:rPr>
                      <w:rFonts w:hint="default" w:ascii="Times New Roman" w:hAnsi="Times New Roman" w:cs="Times New Roman" w:eastAsiaTheme="minorEastAsia"/>
                      <w:b w:val="0"/>
                      <w:bCs/>
                      <w:sz w:val="21"/>
                      <w:szCs w:val="21"/>
                      <w:lang w:val="en-US" w:eastAsia="zh-CN"/>
                    </w:rPr>
                  </w:pPr>
                  <w:r>
                    <w:rPr>
                      <w:rFonts w:hint="eastAsia" w:cs="Times New Roman" w:eastAsiaTheme="minorEastAsia"/>
                      <w:b w:val="0"/>
                      <w:bCs/>
                      <w:sz w:val="21"/>
                      <w:szCs w:val="21"/>
                      <w:lang w:val="en-US" w:eastAsia="zh-CN"/>
                    </w:rPr>
                    <w:t>（植物提取物）</w:t>
                  </w:r>
                </w:p>
              </w:tc>
              <w:tc>
                <w:tcPr>
                  <w:tcW w:w="569" w:type="pct"/>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jc w:val="center"/>
                    <w:textAlignment w:val="auto"/>
                    <w:rPr>
                      <w:rFonts w:hint="default" w:ascii="Times New Roman" w:hAnsi="Times New Roman" w:cs="Times New Roman" w:eastAsiaTheme="minorEastAsia"/>
                      <w:b w:val="0"/>
                      <w:bCs/>
                      <w:sz w:val="21"/>
                      <w:szCs w:val="21"/>
                      <w:lang w:val="en-US" w:eastAsia="zh-CN"/>
                    </w:rPr>
                  </w:pPr>
                  <w:r>
                    <w:rPr>
                      <w:rFonts w:hint="eastAsia" w:cs="Times New Roman" w:eastAsiaTheme="minorEastAsia"/>
                      <w:b w:val="0"/>
                      <w:bCs/>
                      <w:sz w:val="21"/>
                      <w:szCs w:val="21"/>
                      <w:lang w:val="en-US" w:eastAsia="zh-CN"/>
                    </w:rPr>
                    <w:t>12</w:t>
                  </w:r>
                  <w:r>
                    <w:rPr>
                      <w:rFonts w:hint="eastAsia" w:ascii="Times New Roman" w:hAnsi="Times New Roman" w:cs="Times New Roman" w:eastAsiaTheme="minorEastAsia"/>
                      <w:b w:val="0"/>
                      <w:bCs/>
                      <w:sz w:val="21"/>
                      <w:szCs w:val="21"/>
                      <w:lang w:val="en-US" w:eastAsia="zh-CN"/>
                    </w:rPr>
                    <w:t>t</w:t>
                  </w:r>
                </w:p>
              </w:tc>
              <w:tc>
                <w:tcPr>
                  <w:tcW w:w="1884"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jc w:val="both"/>
                    <w:textAlignment w:val="auto"/>
                    <w:rPr>
                      <w:rFonts w:hint="default"/>
                      <w:lang w:val="en-US" w:eastAsia="zh-CN"/>
                    </w:rPr>
                  </w:pPr>
                  <w:r>
                    <w:rPr>
                      <w:rFonts w:hint="eastAsia"/>
                      <w:lang w:val="en-US" w:eastAsia="zh-CN"/>
                    </w:rPr>
                    <w:t>樱花：樱花素、黄酮、植物水份等，其中含水率为98%</w:t>
                  </w:r>
                </w:p>
              </w:tc>
              <w:tc>
                <w:tcPr>
                  <w:tcW w:w="647"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jc w:val="center"/>
                    <w:textAlignment w:val="auto"/>
                    <w:rPr>
                      <w:rFonts w:hint="default" w:ascii="Times New Roman" w:hAnsi="Times New Roman" w:cs="Times New Roman" w:eastAsiaTheme="minorEastAsia"/>
                      <w:b w:val="0"/>
                      <w:bCs/>
                      <w:sz w:val="21"/>
                      <w:szCs w:val="21"/>
                      <w:lang w:val="en-US" w:eastAsia="zh-CN"/>
                    </w:rPr>
                  </w:pPr>
                  <w:r>
                    <w:rPr>
                      <w:rFonts w:hint="eastAsia" w:cs="Times New Roman" w:eastAsiaTheme="minorEastAsia"/>
                      <w:b w:val="0"/>
                      <w:bCs/>
                      <w:sz w:val="21"/>
                      <w:szCs w:val="21"/>
                      <w:lang w:val="en-US" w:eastAsia="zh-CN"/>
                    </w:rPr>
                    <w:t>罐</w:t>
                  </w:r>
                  <w:r>
                    <w:rPr>
                      <w:rFonts w:hint="default" w:ascii="Times New Roman" w:hAnsi="Times New Roman" w:cs="Times New Roman" w:eastAsiaTheme="minorEastAsia"/>
                      <w:b w:val="0"/>
                      <w:bCs/>
                      <w:sz w:val="21"/>
                      <w:szCs w:val="21"/>
                      <w:lang w:val="en-US" w:eastAsia="zh-CN"/>
                    </w:rPr>
                    <w:t>装</w:t>
                  </w:r>
                </w:p>
              </w:tc>
              <w:tc>
                <w:tcPr>
                  <w:tcW w:w="820"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jc w:val="center"/>
                    <w:textAlignment w:val="auto"/>
                    <w:rPr>
                      <w:rFonts w:hint="default" w:ascii="Times New Roman" w:hAnsi="Times New Roman" w:cs="Times New Roman" w:eastAsiaTheme="minorEastAsia"/>
                      <w:b w:val="0"/>
                      <w:bCs/>
                      <w:sz w:val="21"/>
                      <w:szCs w:val="21"/>
                      <w:lang w:eastAsia="zh-CN"/>
                    </w:rPr>
                  </w:pPr>
                  <w:r>
                    <w:rPr>
                      <w:rFonts w:hint="eastAsia" w:cs="Times New Roman" w:eastAsiaTheme="minorEastAsia"/>
                      <w:b w:val="0"/>
                      <w:bCs/>
                      <w:sz w:val="21"/>
                      <w:szCs w:val="21"/>
                      <w:lang w:val="en-US" w:eastAsia="zh-CN"/>
                    </w:rPr>
                    <w:t>成品</w:t>
                  </w:r>
                  <w:r>
                    <w:rPr>
                      <w:rFonts w:hint="default" w:ascii="Times New Roman" w:hAnsi="Times New Roman" w:cs="Times New Roman" w:eastAsiaTheme="minorEastAsia"/>
                      <w:b w:val="0"/>
                      <w:bCs/>
                      <w:sz w:val="21"/>
                      <w:szCs w:val="21"/>
                      <w:lang w:eastAsia="zh-CN"/>
                    </w:rPr>
                    <w:t>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077" w:type="pct"/>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jc w:val="center"/>
                    <w:textAlignment w:val="auto"/>
                    <w:rPr>
                      <w:rFonts w:hint="eastAsia" w:cs="Times New Roman" w:eastAsiaTheme="minorEastAsia"/>
                      <w:b w:val="0"/>
                      <w:bCs/>
                      <w:sz w:val="21"/>
                      <w:szCs w:val="21"/>
                      <w:lang w:val="en-US" w:eastAsia="zh-CN"/>
                    </w:rPr>
                  </w:pPr>
                </w:p>
              </w:tc>
              <w:tc>
                <w:tcPr>
                  <w:tcW w:w="569" w:type="pct"/>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jc w:val="center"/>
                    <w:textAlignment w:val="auto"/>
                    <w:rPr>
                      <w:rFonts w:hint="eastAsia" w:cs="Times New Roman" w:eastAsiaTheme="minorEastAsia"/>
                      <w:b w:val="0"/>
                      <w:bCs/>
                      <w:sz w:val="21"/>
                      <w:szCs w:val="21"/>
                      <w:lang w:val="en-US" w:eastAsia="zh-CN"/>
                    </w:rPr>
                  </w:pPr>
                </w:p>
              </w:tc>
              <w:tc>
                <w:tcPr>
                  <w:tcW w:w="1884" w:type="pct"/>
                  <w:noWrap w:val="0"/>
                  <w:vAlign w:val="center"/>
                </w:tcPr>
                <w:p>
                  <w:pPr>
                    <w:pStyle w:val="2"/>
                    <w:keepNext w:val="0"/>
                    <w:keepLines w:val="0"/>
                    <w:pageBreakBefore w:val="0"/>
                    <w:widowControl w:val="0"/>
                    <w:kinsoku/>
                    <w:wordWrap/>
                    <w:overflowPunct/>
                    <w:topLinePunct w:val="0"/>
                    <w:autoSpaceDE/>
                    <w:autoSpaceDN/>
                    <w:bidi w:val="0"/>
                    <w:adjustRightInd w:val="0"/>
                    <w:spacing w:after="0" w:afterLines="0" w:line="240" w:lineRule="auto"/>
                    <w:ind w:left="0" w:leftChars="0" w:firstLine="0" w:firstLineChars="0"/>
                    <w:jc w:val="both"/>
                    <w:rPr>
                      <w:rFonts w:hint="eastAsia"/>
                      <w:lang w:val="en-US" w:eastAsia="zh-CN"/>
                    </w:rPr>
                  </w:pPr>
                  <w:r>
                    <w:rPr>
                      <w:rFonts w:hint="eastAsia"/>
                      <w:lang w:val="en-US" w:eastAsia="zh-CN"/>
                    </w:rPr>
                    <w:t>茶叶：茶多酚（主要为儿茶素）、植物水份等，其中含水率为98%</w:t>
                  </w:r>
                </w:p>
              </w:tc>
              <w:tc>
                <w:tcPr>
                  <w:tcW w:w="647"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jc w:val="center"/>
                    <w:textAlignment w:val="auto"/>
                    <w:rPr>
                      <w:rFonts w:hint="eastAsia" w:cs="Times New Roman" w:eastAsiaTheme="minorEastAsia"/>
                      <w:b w:val="0"/>
                      <w:bCs/>
                      <w:sz w:val="21"/>
                      <w:szCs w:val="21"/>
                      <w:lang w:val="en-US" w:eastAsia="zh-CN"/>
                    </w:rPr>
                  </w:pPr>
                  <w:r>
                    <w:rPr>
                      <w:rFonts w:hint="eastAsia" w:cs="Times New Roman" w:eastAsiaTheme="minorEastAsia"/>
                      <w:b w:val="0"/>
                      <w:bCs/>
                      <w:sz w:val="21"/>
                      <w:szCs w:val="21"/>
                      <w:lang w:val="en-US" w:eastAsia="zh-CN"/>
                    </w:rPr>
                    <w:t>罐</w:t>
                  </w:r>
                  <w:r>
                    <w:rPr>
                      <w:rFonts w:hint="default" w:ascii="Times New Roman" w:hAnsi="Times New Roman" w:cs="Times New Roman" w:eastAsiaTheme="minorEastAsia"/>
                      <w:b w:val="0"/>
                      <w:bCs/>
                      <w:sz w:val="21"/>
                      <w:szCs w:val="21"/>
                      <w:lang w:val="en-US" w:eastAsia="zh-CN"/>
                    </w:rPr>
                    <w:t>装</w:t>
                  </w:r>
                </w:p>
              </w:tc>
              <w:tc>
                <w:tcPr>
                  <w:tcW w:w="820"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jc w:val="center"/>
                    <w:textAlignment w:val="auto"/>
                    <w:rPr>
                      <w:rFonts w:hint="eastAsia" w:cs="Times New Roman" w:eastAsiaTheme="minorEastAsia"/>
                      <w:b w:val="0"/>
                      <w:bCs/>
                      <w:sz w:val="21"/>
                      <w:szCs w:val="21"/>
                      <w:lang w:val="en-US" w:eastAsia="zh-CN"/>
                    </w:rPr>
                  </w:pPr>
                  <w:r>
                    <w:rPr>
                      <w:rFonts w:hint="eastAsia" w:cs="Times New Roman" w:eastAsiaTheme="minorEastAsia"/>
                      <w:b w:val="0"/>
                      <w:bCs/>
                      <w:sz w:val="21"/>
                      <w:szCs w:val="21"/>
                      <w:lang w:val="en-US" w:eastAsia="zh-CN"/>
                    </w:rPr>
                    <w:t>成品</w:t>
                  </w:r>
                  <w:r>
                    <w:rPr>
                      <w:rFonts w:hint="default" w:ascii="Times New Roman" w:hAnsi="Times New Roman" w:cs="Times New Roman" w:eastAsiaTheme="minorEastAsia"/>
                      <w:b w:val="0"/>
                      <w:bCs/>
                      <w:sz w:val="21"/>
                      <w:szCs w:val="21"/>
                      <w:lang w:eastAsia="zh-CN"/>
                    </w:rPr>
                    <w:t>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077" w:type="pct"/>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jc w:val="center"/>
                    <w:textAlignment w:val="auto"/>
                    <w:rPr>
                      <w:rFonts w:hint="eastAsia" w:cs="Times New Roman" w:eastAsiaTheme="minorEastAsia"/>
                      <w:b w:val="0"/>
                      <w:bCs/>
                      <w:sz w:val="21"/>
                      <w:szCs w:val="21"/>
                      <w:lang w:val="en-US" w:eastAsia="zh-CN"/>
                    </w:rPr>
                  </w:pPr>
                </w:p>
              </w:tc>
              <w:tc>
                <w:tcPr>
                  <w:tcW w:w="569" w:type="pct"/>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jc w:val="center"/>
                    <w:textAlignment w:val="auto"/>
                    <w:rPr>
                      <w:rFonts w:hint="eastAsia" w:cs="Times New Roman" w:eastAsiaTheme="minorEastAsia"/>
                      <w:b w:val="0"/>
                      <w:bCs/>
                      <w:sz w:val="21"/>
                      <w:szCs w:val="21"/>
                      <w:lang w:val="en-US" w:eastAsia="zh-CN"/>
                    </w:rPr>
                  </w:pPr>
                </w:p>
              </w:tc>
              <w:tc>
                <w:tcPr>
                  <w:tcW w:w="1884" w:type="pct"/>
                  <w:noWrap w:val="0"/>
                  <w:vAlign w:val="center"/>
                </w:tcPr>
                <w:p>
                  <w:pPr>
                    <w:rPr>
                      <w:rFonts w:hint="eastAsia"/>
                      <w:lang w:val="en-US" w:eastAsia="zh-CN"/>
                    </w:rPr>
                  </w:pPr>
                  <w:r>
                    <w:rPr>
                      <w:rFonts w:hint="eastAsia"/>
                      <w:lang w:val="en-US" w:eastAsia="zh-CN"/>
                    </w:rPr>
                    <w:t>玫瑰：黄酮、玫瑰</w:t>
                  </w:r>
                  <w:r>
                    <w:rPr>
                      <w:rFonts w:hint="eastAsia" w:ascii="Arial" w:hAnsi="Arial" w:eastAsia="宋体" w:cs="Arial"/>
                      <w:i w:val="0"/>
                      <w:caps w:val="0"/>
                      <w:color w:val="333333"/>
                      <w:spacing w:val="0"/>
                      <w:sz w:val="21"/>
                      <w:szCs w:val="21"/>
                      <w:shd w:val="clear" w:fill="FFFFFF"/>
                    </w:rPr>
                    <w:t>多酚</w:t>
                  </w:r>
                  <w:r>
                    <w:rPr>
                      <w:rFonts w:hint="eastAsia"/>
                      <w:lang w:val="en-US" w:eastAsia="zh-CN"/>
                    </w:rPr>
                    <w:t>等、植物水份等，其中含水率为98%</w:t>
                  </w:r>
                </w:p>
              </w:tc>
              <w:tc>
                <w:tcPr>
                  <w:tcW w:w="647"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jc w:val="center"/>
                    <w:textAlignment w:val="auto"/>
                    <w:rPr>
                      <w:rFonts w:hint="eastAsia" w:cs="Times New Roman" w:eastAsiaTheme="minorEastAsia"/>
                      <w:b w:val="0"/>
                      <w:bCs/>
                      <w:sz w:val="21"/>
                      <w:szCs w:val="21"/>
                      <w:lang w:val="en-US" w:eastAsia="zh-CN"/>
                    </w:rPr>
                  </w:pPr>
                  <w:r>
                    <w:rPr>
                      <w:rFonts w:hint="eastAsia" w:cs="Times New Roman" w:eastAsiaTheme="minorEastAsia"/>
                      <w:b w:val="0"/>
                      <w:bCs/>
                      <w:sz w:val="21"/>
                      <w:szCs w:val="21"/>
                      <w:lang w:val="en-US" w:eastAsia="zh-CN"/>
                    </w:rPr>
                    <w:t>罐</w:t>
                  </w:r>
                  <w:r>
                    <w:rPr>
                      <w:rFonts w:hint="default" w:ascii="Times New Roman" w:hAnsi="Times New Roman" w:cs="Times New Roman" w:eastAsiaTheme="minorEastAsia"/>
                      <w:b w:val="0"/>
                      <w:bCs/>
                      <w:sz w:val="21"/>
                      <w:szCs w:val="21"/>
                      <w:lang w:val="en-US" w:eastAsia="zh-CN"/>
                    </w:rPr>
                    <w:t>装</w:t>
                  </w:r>
                </w:p>
              </w:tc>
              <w:tc>
                <w:tcPr>
                  <w:tcW w:w="820"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jc w:val="center"/>
                    <w:textAlignment w:val="auto"/>
                    <w:rPr>
                      <w:rFonts w:hint="eastAsia" w:cs="Times New Roman" w:eastAsiaTheme="minorEastAsia"/>
                      <w:b w:val="0"/>
                      <w:bCs/>
                      <w:sz w:val="21"/>
                      <w:szCs w:val="21"/>
                      <w:lang w:val="en-US" w:eastAsia="zh-CN"/>
                    </w:rPr>
                  </w:pPr>
                  <w:r>
                    <w:rPr>
                      <w:rFonts w:hint="eastAsia" w:cs="Times New Roman" w:eastAsiaTheme="minorEastAsia"/>
                      <w:b w:val="0"/>
                      <w:bCs/>
                      <w:sz w:val="21"/>
                      <w:szCs w:val="21"/>
                      <w:lang w:val="en-US" w:eastAsia="zh-CN"/>
                    </w:rPr>
                    <w:t>成品</w:t>
                  </w:r>
                  <w:r>
                    <w:rPr>
                      <w:rFonts w:hint="default" w:ascii="Times New Roman" w:hAnsi="Times New Roman" w:cs="Times New Roman" w:eastAsiaTheme="minorEastAsia"/>
                      <w:b w:val="0"/>
                      <w:bCs/>
                      <w:sz w:val="21"/>
                      <w:szCs w:val="21"/>
                      <w:lang w:eastAsia="zh-CN"/>
                    </w:rPr>
                    <w:t>库</w:t>
                  </w:r>
                </w:p>
              </w:tc>
            </w:tr>
          </w:tbl>
          <w:p>
            <w:pPr>
              <w:rPr>
                <w:rFonts w:hint="default"/>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b/>
                <w:bCs/>
                <w:sz w:val="24"/>
                <w:lang w:val="en-US" w:eastAsia="zh-CN"/>
              </w:rPr>
            </w:pPr>
            <w:r>
              <w:rPr>
                <w:rFonts w:hint="eastAsia"/>
                <w:b/>
                <w:bCs/>
                <w:sz w:val="24"/>
                <w:lang w:val="en-US" w:eastAsia="zh-CN"/>
              </w:rPr>
              <w:t>6、工作制度及劳动定员</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项目</w:t>
            </w:r>
            <w:r>
              <w:rPr>
                <w:rFonts w:hint="eastAsia" w:ascii="Times New Roman" w:hAnsi="Times New Roman" w:cs="Times New Roman"/>
                <w:sz w:val="24"/>
                <w:szCs w:val="24"/>
                <w:lang w:val="en-US" w:eastAsia="zh-CN"/>
              </w:rPr>
              <w:t>员工</w:t>
            </w:r>
            <w:r>
              <w:rPr>
                <w:rFonts w:hint="eastAsia" w:cs="Times New Roman"/>
                <w:sz w:val="24"/>
                <w:szCs w:val="24"/>
                <w:lang w:val="en-US" w:eastAsia="zh-CN"/>
              </w:rPr>
              <w:t>12</w:t>
            </w:r>
            <w:r>
              <w:rPr>
                <w:rFonts w:hint="default" w:ascii="Times New Roman" w:hAnsi="Times New Roman" w:cs="Times New Roman"/>
                <w:sz w:val="24"/>
                <w:szCs w:val="24"/>
              </w:rPr>
              <w:t>人，</w:t>
            </w:r>
            <w:r>
              <w:rPr>
                <w:rFonts w:hint="eastAsia" w:ascii="Times New Roman" w:hAnsi="Times New Roman" w:cs="Times New Roman"/>
                <w:sz w:val="24"/>
                <w:szCs w:val="24"/>
                <w:lang w:val="en-US" w:eastAsia="zh-CN"/>
              </w:rPr>
              <w:t>实行</w:t>
            </w:r>
            <w:r>
              <w:rPr>
                <w:rFonts w:hint="default" w:ascii="Times New Roman" w:hAnsi="Times New Roman" w:cs="Times New Roman"/>
                <w:sz w:val="24"/>
                <w:szCs w:val="24"/>
                <w:lang w:val="en-US" w:eastAsia="zh-CN"/>
              </w:rPr>
              <w:t>单班制，</w:t>
            </w:r>
            <w:r>
              <w:rPr>
                <w:rFonts w:hint="default" w:ascii="Times New Roman" w:hAnsi="Times New Roman" w:cs="Times New Roman"/>
                <w:sz w:val="24"/>
                <w:szCs w:val="24"/>
              </w:rPr>
              <w:t>年工作时间约</w:t>
            </w:r>
            <w:r>
              <w:rPr>
                <w:rFonts w:hint="eastAsia" w:cs="Times New Roman"/>
                <w:sz w:val="24"/>
                <w:szCs w:val="24"/>
                <w:lang w:val="en-US" w:eastAsia="zh-CN"/>
              </w:rPr>
              <w:t>250</w:t>
            </w:r>
            <w:r>
              <w:rPr>
                <w:rFonts w:hint="default" w:ascii="Times New Roman" w:hAnsi="Times New Roman" w:cs="Times New Roman"/>
                <w:sz w:val="24"/>
                <w:szCs w:val="24"/>
              </w:rPr>
              <w:t>天</w:t>
            </w:r>
            <w:r>
              <w:rPr>
                <w:rFonts w:hint="eastAsia" w:cs="Times New Roman"/>
                <w:sz w:val="24"/>
                <w:szCs w:val="24"/>
                <w:lang w:eastAsia="zh-CN"/>
              </w:rPr>
              <w:t>，</w:t>
            </w:r>
            <w:r>
              <w:rPr>
                <w:rFonts w:hint="default" w:ascii="Times New Roman" w:hAnsi="Times New Roman" w:cs="Times New Roman"/>
                <w:sz w:val="24"/>
                <w:szCs w:val="24"/>
              </w:rPr>
              <w:t>项目</w:t>
            </w:r>
            <w:r>
              <w:rPr>
                <w:rFonts w:hint="default" w:ascii="Times New Roman" w:hAnsi="Times New Roman" w:cs="Times New Roman"/>
                <w:sz w:val="24"/>
                <w:szCs w:val="24"/>
                <w:lang w:val="en-US" w:eastAsia="zh-CN"/>
              </w:rPr>
              <w:t>厂区内</w:t>
            </w:r>
            <w:r>
              <w:rPr>
                <w:rFonts w:hint="default" w:ascii="Times New Roman" w:hAnsi="Times New Roman" w:cs="Times New Roman"/>
                <w:sz w:val="24"/>
                <w:szCs w:val="24"/>
              </w:rPr>
              <w:t>不</w:t>
            </w:r>
            <w:r>
              <w:rPr>
                <w:rFonts w:hint="default" w:ascii="Times New Roman" w:hAnsi="Times New Roman" w:cs="Times New Roman"/>
                <w:sz w:val="24"/>
                <w:szCs w:val="24"/>
                <w:lang w:val="en-US" w:eastAsia="zh-CN"/>
              </w:rPr>
              <w:t>提供食宿</w:t>
            </w:r>
            <w:r>
              <w:rPr>
                <w:rFonts w:hint="default" w:ascii="Times New Roman" w:hAnsi="Times New Roman" w:cs="Times New Roman"/>
                <w:sz w:val="24"/>
                <w:szCs w:val="24"/>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b/>
                <w:bCs/>
                <w:sz w:val="24"/>
              </w:rPr>
            </w:pPr>
            <w:r>
              <w:rPr>
                <w:rFonts w:hint="eastAsia"/>
                <w:b/>
                <w:bCs/>
                <w:sz w:val="24"/>
                <w:lang w:val="en-US" w:eastAsia="zh-CN"/>
              </w:rPr>
              <w:t>7、</w:t>
            </w:r>
            <w:r>
              <w:rPr>
                <w:rFonts w:hint="eastAsia"/>
                <w:b/>
                <w:bCs/>
                <w:sz w:val="24"/>
              </w:rPr>
              <w:t>公用工程</w:t>
            </w:r>
          </w:p>
          <w:p>
            <w:pPr>
              <w:keepNext w:val="0"/>
              <w:keepLines w:val="0"/>
              <w:pageBreakBefore w:val="0"/>
              <w:widowControl w:val="0"/>
              <w:numPr>
                <w:ilvl w:val="0"/>
                <w:numId w:val="3"/>
              </w:numPr>
              <w:kinsoku/>
              <w:wordWrap/>
              <w:overflowPunct/>
              <w:topLinePunct w:val="0"/>
              <w:autoSpaceDE/>
              <w:autoSpaceDN/>
              <w:bidi w:val="0"/>
              <w:adjustRightInd w:val="0"/>
              <w:snapToGrid w:val="0"/>
              <w:spacing w:line="360" w:lineRule="auto"/>
              <w:ind w:firstLine="480" w:firstLineChars="200"/>
              <w:textAlignment w:val="auto"/>
              <w:rPr>
                <w:rFonts w:hint="eastAsia"/>
                <w:bCs/>
                <w:sz w:val="24"/>
              </w:rPr>
            </w:pPr>
            <w:r>
              <w:rPr>
                <w:rFonts w:hint="eastAsia"/>
                <w:bCs/>
                <w:sz w:val="24"/>
              </w:rPr>
              <w:t xml:space="preserve">给水 </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bCs/>
                <w:sz w:val="24"/>
                <w:highlight w:val="none"/>
              </w:rPr>
            </w:pPr>
            <w:r>
              <w:rPr>
                <w:rFonts w:hint="eastAsia"/>
                <w:bCs/>
                <w:sz w:val="24"/>
              </w:rPr>
              <w:t>项目供水由市政供水管网引入，能够满足拟建项目用水需求</w:t>
            </w:r>
            <w:r>
              <w:rPr>
                <w:rFonts w:hint="eastAsia"/>
                <w:bCs/>
                <w:sz w:val="24"/>
                <w:lang w:eastAsia="zh-CN"/>
              </w:rPr>
              <w:t>，</w:t>
            </w:r>
            <w:r>
              <w:rPr>
                <w:rFonts w:hint="eastAsia"/>
                <w:bCs/>
                <w:sz w:val="24"/>
                <w:lang w:val="en-US" w:eastAsia="zh-CN"/>
              </w:rPr>
              <w:t>项目用水环节主要为清洗原料、清洗设备、清洗车间、纯水制备用水、冷却系统补充水及蒸汽制备用水，生产工艺中新鲜</w:t>
            </w:r>
            <w:r>
              <w:rPr>
                <w:rFonts w:hint="eastAsia"/>
                <w:b w:val="0"/>
                <w:bCs/>
                <w:sz w:val="24"/>
                <w:highlight w:val="none"/>
                <w:lang w:val="en-US" w:eastAsia="zh-CN"/>
              </w:rPr>
              <w:t>水用量共267.4t/a，</w:t>
            </w:r>
            <w:r>
              <w:rPr>
                <w:rFonts w:hint="eastAsia"/>
                <w:bCs/>
                <w:sz w:val="24"/>
                <w:highlight w:val="none"/>
                <w:lang w:val="en-US" w:eastAsia="zh-CN"/>
              </w:rPr>
              <w:t>生活用水量为150t/a，总新鲜水用量为417.4t/a</w:t>
            </w:r>
            <w:r>
              <w:rPr>
                <w:rFonts w:hint="eastAsia"/>
                <w:bCs/>
                <w:sz w:val="24"/>
                <w:highlight w:val="none"/>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bCs/>
                <w:sz w:val="24"/>
                <w:highlight w:val="none"/>
              </w:rPr>
            </w:pPr>
            <w:r>
              <w:rPr>
                <w:rFonts w:hint="eastAsia"/>
                <w:bCs/>
                <w:sz w:val="24"/>
                <w:highlight w:val="none"/>
              </w:rPr>
              <w:t>（2）排水</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bCs/>
                <w:sz w:val="24"/>
              </w:rPr>
            </w:pPr>
            <w:r>
              <w:rPr>
                <w:rFonts w:hint="eastAsia"/>
                <w:bCs/>
                <w:sz w:val="24"/>
                <w:highlight w:val="none"/>
              </w:rPr>
              <w:t>项目排水采用雨、污分流制。项目生活污水</w:t>
            </w:r>
            <w:r>
              <w:rPr>
                <w:rFonts w:hint="eastAsia"/>
                <w:bCs/>
                <w:sz w:val="24"/>
                <w:highlight w:val="none"/>
                <w:lang w:val="en-US" w:eastAsia="zh-CN"/>
              </w:rPr>
              <w:t>产生量为128t/a，经厂区</w:t>
            </w:r>
            <w:r>
              <w:rPr>
                <w:rFonts w:hint="eastAsia"/>
                <w:bCs/>
                <w:sz w:val="24"/>
                <w:highlight w:val="none"/>
              </w:rPr>
              <w:t>化粪池处理后排至市政污水管网</w:t>
            </w:r>
            <w:r>
              <w:rPr>
                <w:rFonts w:hint="eastAsia"/>
                <w:bCs/>
                <w:sz w:val="24"/>
                <w:highlight w:val="none"/>
                <w:lang w:eastAsia="zh-CN"/>
              </w:rPr>
              <w:t>；</w:t>
            </w:r>
            <w:r>
              <w:rPr>
                <w:rFonts w:hint="eastAsia"/>
                <w:bCs/>
                <w:sz w:val="24"/>
                <w:highlight w:val="none"/>
                <w:lang w:val="en-US" w:eastAsia="zh-CN"/>
              </w:rPr>
              <w:t>原料清洗废水、设备清洗废水、车间清洗废水共202.5t/a，排入厂区</w:t>
            </w:r>
            <w:r>
              <w:rPr>
                <w:rFonts w:hint="eastAsia"/>
                <w:bCs/>
                <w:sz w:val="24"/>
                <w:highlight w:val="none"/>
              </w:rPr>
              <w:t>污水处理</w:t>
            </w:r>
            <w:r>
              <w:rPr>
                <w:rFonts w:hint="eastAsia"/>
                <w:bCs/>
                <w:sz w:val="24"/>
                <w:highlight w:val="none"/>
                <w:lang w:val="en-US" w:eastAsia="zh-CN"/>
              </w:rPr>
              <w:t>站</w:t>
            </w:r>
            <w:r>
              <w:rPr>
                <w:rFonts w:hint="eastAsia"/>
                <w:bCs/>
                <w:sz w:val="24"/>
                <w:highlight w:val="none"/>
              </w:rPr>
              <w:t>处理</w:t>
            </w:r>
            <w:r>
              <w:rPr>
                <w:rFonts w:hint="eastAsia"/>
                <w:bCs/>
                <w:sz w:val="24"/>
                <w:highlight w:val="none"/>
                <w:lang w:eastAsia="zh-CN"/>
              </w:rPr>
              <w:t>，</w:t>
            </w:r>
            <w:r>
              <w:rPr>
                <w:rFonts w:hint="eastAsia"/>
                <w:bCs/>
                <w:sz w:val="24"/>
                <w:highlight w:val="none"/>
                <w:lang w:val="en-US" w:eastAsia="zh-CN"/>
              </w:rPr>
              <w:t>与生活污水</w:t>
            </w:r>
            <w:r>
              <w:rPr>
                <w:rFonts w:hint="default" w:ascii="Times New Roman" w:hAnsi="Times New Roman" w:cs="Times New Roman"/>
                <w:color w:val="auto"/>
                <w:sz w:val="24"/>
                <w:highlight w:val="none"/>
                <w:lang w:val="en-US" w:eastAsia="zh-CN"/>
              </w:rPr>
              <w:t>一同经市政</w:t>
            </w:r>
            <w:r>
              <w:rPr>
                <w:rFonts w:hint="default" w:ascii="Times New Roman" w:hAnsi="Times New Roman" w:cs="Times New Roman"/>
                <w:bCs w:val="0"/>
                <w:color w:val="auto"/>
                <w:kern w:val="0"/>
                <w:sz w:val="24"/>
                <w:szCs w:val="22"/>
                <w:highlight w:val="none"/>
                <w:lang w:val="en-US" w:eastAsia="zh-CN" w:bidi="ar-SA"/>
              </w:rPr>
              <w:t>污水管网排至青岛海清环保科技有限公司污水处理厂进一步处理</w:t>
            </w:r>
            <w:r>
              <w:rPr>
                <w:rFonts w:hint="default" w:ascii="Times New Roman" w:hAnsi="Times New Roman" w:cs="Times New Roman"/>
                <w:color w:val="auto"/>
                <w:sz w:val="24"/>
                <w:highlight w:val="none"/>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eastAsia="宋体"/>
                <w:bCs/>
                <w:sz w:val="24"/>
                <w:lang w:val="en-US" w:eastAsia="zh-CN"/>
              </w:rPr>
            </w:pPr>
            <w:r>
              <w:rPr>
                <w:rFonts w:hint="eastAsia"/>
                <w:bCs/>
                <w:sz w:val="24"/>
                <w:lang w:val="en-US" w:eastAsia="zh-CN"/>
              </w:rPr>
              <w:t>项目水平衡见工程分析章节。</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bCs/>
                <w:sz w:val="24"/>
              </w:rPr>
            </w:pPr>
            <w:r>
              <w:rPr>
                <w:rFonts w:hint="eastAsia"/>
                <w:bCs/>
                <w:sz w:val="24"/>
              </w:rPr>
              <w:t>（3）供电</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bCs/>
                <w:sz w:val="24"/>
              </w:rPr>
            </w:pPr>
            <w:r>
              <w:rPr>
                <w:rFonts w:hint="eastAsia"/>
                <w:bCs/>
                <w:sz w:val="24"/>
                <w:szCs w:val="24"/>
              </w:rPr>
              <w:t>项目</w:t>
            </w:r>
            <w:r>
              <w:rPr>
                <w:rFonts w:hint="eastAsia"/>
                <w:bCs/>
                <w:sz w:val="24"/>
                <w:szCs w:val="24"/>
                <w:lang w:val="en-US" w:eastAsia="zh-CN"/>
              </w:rPr>
              <w:t>用电</w:t>
            </w:r>
            <w:r>
              <w:rPr>
                <w:rFonts w:hint="eastAsia"/>
                <w:bCs/>
                <w:sz w:val="24"/>
                <w:szCs w:val="24"/>
              </w:rPr>
              <w:t>经</w:t>
            </w:r>
            <w:r>
              <w:rPr>
                <w:rFonts w:hint="eastAsia"/>
                <w:bCs/>
                <w:sz w:val="24"/>
                <w:szCs w:val="24"/>
                <w:lang w:val="en-US" w:eastAsia="zh-CN"/>
              </w:rPr>
              <w:t>西海岸新区</w:t>
            </w:r>
            <w:r>
              <w:rPr>
                <w:rFonts w:hint="eastAsia"/>
                <w:bCs/>
                <w:sz w:val="24"/>
                <w:szCs w:val="24"/>
              </w:rPr>
              <w:t>市政电网提供</w:t>
            </w:r>
            <w:r>
              <w:rPr>
                <w:rFonts w:hint="eastAsia"/>
                <w:bCs/>
                <w:sz w:val="24"/>
                <w:szCs w:val="24"/>
                <w:lang w:eastAsia="zh-CN"/>
              </w:rPr>
              <w:t>，</w:t>
            </w:r>
            <w:r>
              <w:rPr>
                <w:rFonts w:hint="eastAsia"/>
                <w:bCs/>
                <w:sz w:val="24"/>
                <w:szCs w:val="24"/>
                <w:lang w:val="en-US" w:eastAsia="zh-CN"/>
              </w:rPr>
              <w:t>用电量为</w:t>
            </w:r>
            <w:r>
              <w:rPr>
                <w:rFonts w:hint="eastAsia" w:ascii="Times New Roman" w:hAnsi="Times New Roman" w:cs="Times New Roman"/>
                <w:color w:val="auto"/>
                <w:sz w:val="24"/>
                <w:szCs w:val="24"/>
                <w:lang w:val="en-US" w:eastAsia="zh-CN"/>
              </w:rPr>
              <w:t>7.5万度</w:t>
            </w:r>
            <w:r>
              <w:rPr>
                <w:rFonts w:hint="default" w:ascii="Times New Roman" w:hAnsi="Times New Roman" w:cs="Times New Roman"/>
                <w:color w:val="auto"/>
                <w:sz w:val="24"/>
                <w:szCs w:val="24"/>
                <w:lang w:val="en-US" w:eastAsia="zh-CN"/>
              </w:rPr>
              <w:t>/a</w:t>
            </w:r>
            <w:r>
              <w:rPr>
                <w:rFonts w:hint="eastAsia"/>
                <w:bCs/>
                <w:sz w:val="24"/>
                <w:szCs w:val="24"/>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cs="Times New Roman"/>
                <w:b/>
                <w:bCs/>
                <w:color w:val="auto"/>
                <w:sz w:val="24"/>
                <w:szCs w:val="24"/>
              </w:rPr>
            </w:pPr>
            <w:r>
              <w:rPr>
                <w:rFonts w:hint="eastAsia" w:cs="Times New Roman"/>
                <w:b/>
                <w:color w:val="auto"/>
                <w:sz w:val="24"/>
                <w:szCs w:val="24"/>
                <w:lang w:val="en-US" w:eastAsia="zh-CN"/>
              </w:rPr>
              <w:t>8、</w:t>
            </w:r>
            <w:r>
              <w:rPr>
                <w:rFonts w:hint="default" w:ascii="Times New Roman" w:hAnsi="Times New Roman" w:cs="Times New Roman"/>
                <w:b/>
                <w:color w:val="auto"/>
                <w:sz w:val="24"/>
                <w:szCs w:val="24"/>
              </w:rPr>
              <w:t>环境保护投资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color w:val="auto"/>
                <w:sz w:val="24"/>
                <w:szCs w:val="24"/>
              </w:rPr>
            </w:pPr>
            <w:r>
              <w:rPr>
                <w:rFonts w:hint="eastAsia"/>
                <w:color w:val="auto"/>
                <w:sz w:val="24"/>
                <w:szCs w:val="24"/>
                <w:lang w:val="en-US" w:eastAsia="zh-CN"/>
              </w:rPr>
              <w:t>项目</w:t>
            </w:r>
            <w:r>
              <w:rPr>
                <w:color w:val="auto"/>
                <w:sz w:val="24"/>
                <w:szCs w:val="24"/>
              </w:rPr>
              <w:t>总投资</w:t>
            </w:r>
            <w:r>
              <w:rPr>
                <w:rFonts w:hint="eastAsia"/>
                <w:color w:val="auto"/>
                <w:sz w:val="24"/>
                <w:lang w:val="en-US" w:eastAsia="zh-CN"/>
              </w:rPr>
              <w:t>796</w:t>
            </w:r>
            <w:r>
              <w:rPr>
                <w:rFonts w:hint="eastAsia" w:ascii="宋体" w:hAnsi="宋体" w:cs="宋体"/>
                <w:bCs/>
                <w:color w:val="auto"/>
                <w:kern w:val="0"/>
                <w:sz w:val="24"/>
                <w:szCs w:val="24"/>
              </w:rPr>
              <w:t>万</w:t>
            </w:r>
            <w:r>
              <w:rPr>
                <w:color w:val="auto"/>
                <w:sz w:val="24"/>
                <w:szCs w:val="24"/>
              </w:rPr>
              <w:t>元，</w:t>
            </w:r>
            <w:r>
              <w:rPr>
                <w:rFonts w:hint="eastAsia"/>
                <w:color w:val="auto"/>
                <w:sz w:val="24"/>
                <w:szCs w:val="24"/>
                <w:lang w:val="en-US" w:eastAsia="zh-CN"/>
              </w:rPr>
              <w:t>该</w:t>
            </w:r>
            <w:r>
              <w:rPr>
                <w:rFonts w:hint="eastAsia"/>
                <w:color w:val="auto"/>
                <w:sz w:val="24"/>
                <w:szCs w:val="24"/>
              </w:rPr>
              <w:t>项目环保投资主要为运营期环保投资，共计</w:t>
            </w:r>
            <w:r>
              <w:rPr>
                <w:rFonts w:hint="eastAsia"/>
                <w:color w:val="auto"/>
                <w:sz w:val="24"/>
                <w:szCs w:val="24"/>
                <w:lang w:val="en-US" w:eastAsia="zh-CN"/>
              </w:rPr>
              <w:t>20</w:t>
            </w:r>
            <w:r>
              <w:rPr>
                <w:color w:val="auto"/>
                <w:sz w:val="24"/>
                <w:szCs w:val="24"/>
              </w:rPr>
              <w:t>万元，占工程总投资的</w:t>
            </w:r>
            <w:r>
              <w:rPr>
                <w:rFonts w:hint="eastAsia"/>
                <w:color w:val="auto"/>
                <w:sz w:val="24"/>
                <w:szCs w:val="24"/>
                <w:lang w:val="en-US" w:eastAsia="zh-CN"/>
              </w:rPr>
              <w:t>2.5</w:t>
            </w:r>
            <w:r>
              <w:rPr>
                <w:color w:val="auto"/>
                <w:sz w:val="24"/>
                <w:szCs w:val="24"/>
              </w:rPr>
              <w:t>%，环保投资估算详见表</w:t>
            </w:r>
            <w:r>
              <w:rPr>
                <w:rFonts w:hint="eastAsia"/>
                <w:color w:val="auto"/>
                <w:sz w:val="24"/>
                <w:szCs w:val="24"/>
                <w:lang w:val="en-US" w:eastAsia="zh-CN"/>
              </w:rPr>
              <w:t>5</w:t>
            </w:r>
            <w:r>
              <w:rPr>
                <w:color w:val="auto"/>
                <w:sz w:val="24"/>
                <w:szCs w:val="24"/>
              </w:rPr>
              <w:t>。</w:t>
            </w:r>
          </w:p>
          <w:p>
            <w:pPr>
              <w:pStyle w:val="20"/>
              <w:spacing w:before="120"/>
              <w:rPr>
                <w:rFonts w:hint="eastAsia"/>
                <w:b w:val="0"/>
                <w:bCs w:val="0"/>
                <w:color w:val="auto"/>
                <w:sz w:val="21"/>
                <w:szCs w:val="21"/>
              </w:rPr>
            </w:pPr>
            <w:r>
              <w:rPr>
                <w:rFonts w:hint="eastAsia" w:eastAsia="黑体"/>
                <w:b w:val="0"/>
                <w:bCs w:val="0"/>
                <w:color w:val="auto"/>
                <w:sz w:val="21"/>
                <w:szCs w:val="21"/>
              </w:rPr>
              <w:t>表</w:t>
            </w:r>
            <w:r>
              <w:rPr>
                <w:rFonts w:hint="eastAsia" w:eastAsia="黑体"/>
                <w:b w:val="0"/>
                <w:bCs w:val="0"/>
                <w:color w:val="auto"/>
                <w:sz w:val="21"/>
                <w:szCs w:val="21"/>
                <w:lang w:val="en-US" w:eastAsia="zh-CN"/>
              </w:rPr>
              <w:t>5</w:t>
            </w:r>
            <w:r>
              <w:rPr>
                <w:rFonts w:hint="eastAsia" w:eastAsia="黑体"/>
                <w:b w:val="0"/>
                <w:bCs w:val="0"/>
                <w:color w:val="auto"/>
                <w:sz w:val="21"/>
                <w:szCs w:val="21"/>
              </w:rPr>
              <w:t xml:space="preserve">  主要环保投资一览表</w:t>
            </w:r>
          </w:p>
          <w:tbl>
            <w:tblPr>
              <w:tblStyle w:val="37"/>
              <w:tblW w:w="870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
            <w:tblGrid>
              <w:gridCol w:w="887"/>
              <w:gridCol w:w="1542"/>
              <w:gridCol w:w="4648"/>
              <w:gridCol w:w="162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319" w:hRule="exact"/>
                <w:jc w:val="center"/>
              </w:trPr>
              <w:tc>
                <w:tcPr>
                  <w:tcW w:w="887" w:type="dxa"/>
                  <w:noWrap w:val="0"/>
                  <w:vAlign w:val="center"/>
                </w:tcPr>
                <w:p>
                  <w:pPr>
                    <w:jc w:val="center"/>
                    <w:rPr>
                      <w:rFonts w:hint="eastAsia" w:eastAsia="宋体"/>
                      <w:color w:val="auto"/>
                      <w:szCs w:val="21"/>
                      <w:lang w:val="en-US" w:eastAsia="zh-CN"/>
                    </w:rPr>
                  </w:pPr>
                  <w:r>
                    <w:rPr>
                      <w:rFonts w:hint="eastAsia"/>
                      <w:color w:val="auto"/>
                      <w:szCs w:val="21"/>
                      <w:lang w:val="en-US" w:eastAsia="zh-CN"/>
                    </w:rPr>
                    <w:t>阶段</w:t>
                  </w:r>
                </w:p>
              </w:tc>
              <w:tc>
                <w:tcPr>
                  <w:tcW w:w="1542" w:type="dxa"/>
                  <w:noWrap w:val="0"/>
                  <w:vAlign w:val="center"/>
                </w:tcPr>
                <w:p>
                  <w:pPr>
                    <w:jc w:val="center"/>
                    <w:rPr>
                      <w:color w:val="auto"/>
                      <w:szCs w:val="21"/>
                    </w:rPr>
                  </w:pPr>
                  <w:r>
                    <w:rPr>
                      <w:color w:val="auto"/>
                      <w:szCs w:val="21"/>
                    </w:rPr>
                    <w:t>项目</w:t>
                  </w:r>
                </w:p>
              </w:tc>
              <w:tc>
                <w:tcPr>
                  <w:tcW w:w="4648" w:type="dxa"/>
                  <w:noWrap w:val="0"/>
                  <w:vAlign w:val="center"/>
                </w:tcPr>
                <w:p>
                  <w:pPr>
                    <w:jc w:val="center"/>
                    <w:rPr>
                      <w:color w:val="auto"/>
                      <w:szCs w:val="21"/>
                    </w:rPr>
                  </w:pPr>
                  <w:r>
                    <w:rPr>
                      <w:color w:val="auto"/>
                      <w:szCs w:val="21"/>
                    </w:rPr>
                    <w:t>措施内容</w:t>
                  </w:r>
                </w:p>
              </w:tc>
              <w:tc>
                <w:tcPr>
                  <w:tcW w:w="1623" w:type="dxa"/>
                  <w:noWrap w:val="0"/>
                  <w:vAlign w:val="center"/>
                </w:tcPr>
                <w:p>
                  <w:pPr>
                    <w:jc w:val="center"/>
                    <w:rPr>
                      <w:color w:val="auto"/>
                      <w:szCs w:val="21"/>
                    </w:rPr>
                  </w:pPr>
                  <w:r>
                    <w:rPr>
                      <w:color w:val="auto"/>
                      <w:szCs w:val="21"/>
                    </w:rPr>
                    <w:t>工程投资（万元）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83" w:hRule="exact"/>
                <w:jc w:val="center"/>
              </w:trPr>
              <w:tc>
                <w:tcPr>
                  <w:tcW w:w="887" w:type="dxa"/>
                  <w:vMerge w:val="restart"/>
                  <w:noWrap w:val="0"/>
                  <w:vAlign w:val="center"/>
                </w:tcPr>
                <w:p>
                  <w:pPr>
                    <w:jc w:val="center"/>
                    <w:rPr>
                      <w:color w:val="auto"/>
                      <w:szCs w:val="21"/>
                    </w:rPr>
                  </w:pPr>
                  <w:r>
                    <w:rPr>
                      <w:color w:val="auto"/>
                      <w:szCs w:val="21"/>
                    </w:rPr>
                    <w:t>运营期</w:t>
                  </w:r>
                </w:p>
              </w:tc>
              <w:tc>
                <w:tcPr>
                  <w:tcW w:w="1542" w:type="dxa"/>
                  <w:noWrap w:val="0"/>
                  <w:vAlign w:val="center"/>
                </w:tcPr>
                <w:p>
                  <w:pPr>
                    <w:jc w:val="center"/>
                    <w:rPr>
                      <w:color w:val="auto"/>
                      <w:szCs w:val="21"/>
                    </w:rPr>
                  </w:pPr>
                  <w:r>
                    <w:rPr>
                      <w:color w:val="auto"/>
                      <w:szCs w:val="21"/>
                    </w:rPr>
                    <w:t>生活污水</w:t>
                  </w:r>
                </w:p>
              </w:tc>
              <w:tc>
                <w:tcPr>
                  <w:tcW w:w="4648" w:type="dxa"/>
                  <w:noWrap w:val="0"/>
                  <w:vAlign w:val="center"/>
                </w:tcPr>
                <w:p>
                  <w:pPr>
                    <w:pStyle w:val="72"/>
                    <w:keepNext w:val="0"/>
                    <w:keepLines w:val="0"/>
                    <w:pageBreakBefore w:val="0"/>
                    <w:widowControl w:val="0"/>
                    <w:tabs>
                      <w:tab w:val="left" w:pos="940"/>
                    </w:tabs>
                    <w:kinsoku/>
                    <w:wordWrap/>
                    <w:overflowPunct/>
                    <w:topLinePunct w:val="0"/>
                    <w:autoSpaceDE/>
                    <w:autoSpaceDN/>
                    <w:bidi w:val="0"/>
                    <w:adjustRightInd/>
                    <w:snapToGrid/>
                    <w:ind w:firstLine="0"/>
                    <w:textAlignment w:val="auto"/>
                    <w:rPr>
                      <w:rFonts w:hAnsi="宋体"/>
                      <w:color w:val="auto"/>
                      <w:sz w:val="21"/>
                      <w:szCs w:val="21"/>
                    </w:rPr>
                  </w:pPr>
                  <w:r>
                    <w:rPr>
                      <w:rFonts w:hint="eastAsia" w:hAnsi="宋体"/>
                      <w:color w:val="auto"/>
                      <w:sz w:val="21"/>
                      <w:szCs w:val="21"/>
                    </w:rPr>
                    <w:t>化粪池</w:t>
                  </w:r>
                </w:p>
              </w:tc>
              <w:tc>
                <w:tcPr>
                  <w:tcW w:w="1623" w:type="dxa"/>
                  <w:noWrap w:val="0"/>
                  <w:vAlign w:val="center"/>
                </w:tcPr>
                <w:p>
                  <w:pPr>
                    <w:pStyle w:val="72"/>
                    <w:tabs>
                      <w:tab w:val="left" w:pos="940"/>
                    </w:tabs>
                    <w:rPr>
                      <w:rFonts w:hint="eastAsia" w:hAnsi="宋体" w:eastAsia="宋体"/>
                      <w:color w:val="auto"/>
                      <w:sz w:val="21"/>
                      <w:szCs w:val="21"/>
                      <w:lang w:eastAsia="zh-CN"/>
                    </w:rPr>
                  </w:pPr>
                  <w:r>
                    <w:rPr>
                      <w:rFonts w:hint="eastAsia" w:hAnsi="宋体"/>
                      <w:color w:val="auto"/>
                      <w:sz w:val="21"/>
                      <w:szCs w:val="21"/>
                      <w:lang w:val="en-US" w:eastAsia="zh-CN"/>
                    </w:rPr>
                    <w:t>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69" w:hRule="exact"/>
                <w:jc w:val="center"/>
              </w:trPr>
              <w:tc>
                <w:tcPr>
                  <w:tcW w:w="887" w:type="dxa"/>
                  <w:vMerge w:val="continue"/>
                  <w:noWrap w:val="0"/>
                  <w:vAlign w:val="center"/>
                </w:tcPr>
                <w:p>
                  <w:pPr>
                    <w:jc w:val="center"/>
                    <w:rPr>
                      <w:color w:val="auto"/>
                      <w:szCs w:val="21"/>
                    </w:rPr>
                  </w:pPr>
                </w:p>
              </w:tc>
              <w:tc>
                <w:tcPr>
                  <w:tcW w:w="1542" w:type="dxa"/>
                  <w:noWrap w:val="0"/>
                  <w:vAlign w:val="center"/>
                </w:tcPr>
                <w:p>
                  <w:pPr>
                    <w:jc w:val="center"/>
                    <w:rPr>
                      <w:rFonts w:hint="eastAsia"/>
                      <w:color w:val="auto"/>
                      <w:szCs w:val="21"/>
                    </w:rPr>
                  </w:pPr>
                  <w:r>
                    <w:rPr>
                      <w:rFonts w:hint="eastAsia"/>
                      <w:color w:val="auto"/>
                      <w:szCs w:val="21"/>
                    </w:rPr>
                    <w:t>清洗废水</w:t>
                  </w:r>
                </w:p>
              </w:tc>
              <w:tc>
                <w:tcPr>
                  <w:tcW w:w="4648" w:type="dxa"/>
                  <w:noWrap w:val="0"/>
                  <w:vAlign w:val="center"/>
                </w:tcPr>
                <w:p>
                  <w:pPr>
                    <w:jc w:val="center"/>
                    <w:rPr>
                      <w:rFonts w:hint="default" w:eastAsia="宋体"/>
                      <w:color w:val="auto"/>
                      <w:szCs w:val="21"/>
                      <w:lang w:val="en-US" w:eastAsia="zh-CN"/>
                    </w:rPr>
                  </w:pPr>
                  <w:r>
                    <w:rPr>
                      <w:rFonts w:hint="eastAsia"/>
                      <w:color w:val="auto"/>
                      <w:szCs w:val="21"/>
                      <w:lang w:val="en-US" w:eastAsia="zh-CN"/>
                    </w:rPr>
                    <w:t>一体化污水处理设备</w:t>
                  </w:r>
                </w:p>
              </w:tc>
              <w:tc>
                <w:tcPr>
                  <w:tcW w:w="1623" w:type="dxa"/>
                  <w:noWrap w:val="0"/>
                  <w:vAlign w:val="center"/>
                </w:tcPr>
                <w:p>
                  <w:pPr>
                    <w:jc w:val="center"/>
                    <w:rPr>
                      <w:rFonts w:hint="default"/>
                      <w:color w:val="auto"/>
                      <w:szCs w:val="21"/>
                      <w:lang w:val="en-US"/>
                    </w:rPr>
                  </w:pPr>
                  <w:r>
                    <w:rPr>
                      <w:rFonts w:hint="eastAsia"/>
                      <w:color w:val="auto"/>
                      <w:szCs w:val="21"/>
                      <w:lang w:val="en-US" w:eastAsia="zh-CN"/>
                    </w:rPr>
                    <w:t>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87" w:hRule="exact"/>
                <w:jc w:val="center"/>
              </w:trPr>
              <w:tc>
                <w:tcPr>
                  <w:tcW w:w="887" w:type="dxa"/>
                  <w:vMerge w:val="continue"/>
                  <w:noWrap w:val="0"/>
                  <w:vAlign w:val="center"/>
                </w:tcPr>
                <w:p>
                  <w:pPr>
                    <w:jc w:val="center"/>
                    <w:rPr>
                      <w:color w:val="auto"/>
                      <w:szCs w:val="21"/>
                    </w:rPr>
                  </w:pPr>
                </w:p>
              </w:tc>
              <w:tc>
                <w:tcPr>
                  <w:tcW w:w="1542" w:type="dxa"/>
                  <w:noWrap w:val="0"/>
                  <w:vAlign w:val="center"/>
                </w:tcPr>
                <w:p>
                  <w:pPr>
                    <w:jc w:val="center"/>
                    <w:rPr>
                      <w:rFonts w:hint="eastAsia" w:eastAsia="宋体"/>
                      <w:color w:val="auto"/>
                      <w:szCs w:val="21"/>
                      <w:lang w:val="en-US" w:eastAsia="zh-CN"/>
                    </w:rPr>
                  </w:pPr>
                  <w:r>
                    <w:rPr>
                      <w:rFonts w:hint="eastAsia"/>
                      <w:color w:val="auto"/>
                      <w:szCs w:val="21"/>
                      <w:lang w:val="en-US" w:eastAsia="zh-CN"/>
                    </w:rPr>
                    <w:t>废气</w:t>
                  </w:r>
                </w:p>
              </w:tc>
              <w:tc>
                <w:tcPr>
                  <w:tcW w:w="4648" w:type="dxa"/>
                  <w:noWrap w:val="0"/>
                  <w:vAlign w:val="center"/>
                </w:tcPr>
                <w:p>
                  <w:pPr>
                    <w:jc w:val="center"/>
                    <w:rPr>
                      <w:rFonts w:hint="default"/>
                      <w:color w:val="auto"/>
                      <w:szCs w:val="21"/>
                      <w:lang w:val="en-US" w:eastAsia="zh-CN"/>
                    </w:rPr>
                  </w:pPr>
                  <w:r>
                    <w:rPr>
                      <w:rFonts w:hint="eastAsia"/>
                      <w:color w:val="auto"/>
                      <w:szCs w:val="21"/>
                      <w:lang w:val="en-US" w:eastAsia="zh-CN"/>
                    </w:rPr>
                    <w:t>冷却</w:t>
                  </w:r>
                </w:p>
              </w:tc>
              <w:tc>
                <w:tcPr>
                  <w:tcW w:w="1623" w:type="dxa"/>
                  <w:noWrap w:val="0"/>
                  <w:vAlign w:val="center"/>
                </w:tcPr>
                <w:p>
                  <w:pPr>
                    <w:jc w:val="center"/>
                    <w:rPr>
                      <w:rFonts w:hint="default"/>
                      <w:color w:val="auto"/>
                      <w:szCs w:val="21"/>
                      <w:lang w:val="en-US" w:eastAsia="zh-CN"/>
                    </w:rPr>
                  </w:pPr>
                  <w:r>
                    <w:rPr>
                      <w:rFonts w:hint="eastAsia"/>
                      <w:color w:val="auto"/>
                      <w:szCs w:val="21"/>
                      <w:lang w:val="en-US" w:eastAsia="zh-CN"/>
                    </w:rPr>
                    <w:t>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87" w:hRule="exact"/>
                <w:jc w:val="center"/>
              </w:trPr>
              <w:tc>
                <w:tcPr>
                  <w:tcW w:w="887" w:type="dxa"/>
                  <w:vMerge w:val="continue"/>
                  <w:noWrap w:val="0"/>
                  <w:vAlign w:val="center"/>
                </w:tcPr>
                <w:p>
                  <w:pPr>
                    <w:jc w:val="center"/>
                    <w:rPr>
                      <w:color w:val="auto"/>
                      <w:szCs w:val="21"/>
                    </w:rPr>
                  </w:pPr>
                </w:p>
              </w:tc>
              <w:tc>
                <w:tcPr>
                  <w:tcW w:w="1542" w:type="dxa"/>
                  <w:noWrap w:val="0"/>
                  <w:vAlign w:val="center"/>
                </w:tcPr>
                <w:p>
                  <w:pPr>
                    <w:jc w:val="center"/>
                    <w:rPr>
                      <w:color w:val="auto"/>
                      <w:szCs w:val="21"/>
                    </w:rPr>
                  </w:pPr>
                  <w:r>
                    <w:rPr>
                      <w:color w:val="auto"/>
                      <w:szCs w:val="21"/>
                    </w:rPr>
                    <w:t>噪声</w:t>
                  </w:r>
                </w:p>
              </w:tc>
              <w:tc>
                <w:tcPr>
                  <w:tcW w:w="4648" w:type="dxa"/>
                  <w:noWrap w:val="0"/>
                  <w:vAlign w:val="center"/>
                </w:tcPr>
                <w:p>
                  <w:pPr>
                    <w:jc w:val="center"/>
                    <w:rPr>
                      <w:rFonts w:hint="default" w:eastAsia="宋体"/>
                      <w:color w:val="auto"/>
                      <w:szCs w:val="21"/>
                      <w:lang w:val="en-US" w:eastAsia="zh-CN"/>
                    </w:rPr>
                  </w:pPr>
                  <w:r>
                    <w:rPr>
                      <w:rFonts w:hint="eastAsia"/>
                      <w:color w:val="auto"/>
                      <w:szCs w:val="21"/>
                      <w:lang w:val="en-US" w:eastAsia="zh-CN"/>
                    </w:rPr>
                    <w:t>室内生产，隔声、减振</w:t>
                  </w:r>
                </w:p>
              </w:tc>
              <w:tc>
                <w:tcPr>
                  <w:tcW w:w="1623" w:type="dxa"/>
                  <w:noWrap w:val="0"/>
                  <w:vAlign w:val="center"/>
                </w:tcPr>
                <w:p>
                  <w:pPr>
                    <w:jc w:val="center"/>
                    <w:rPr>
                      <w:rFonts w:hint="eastAsia"/>
                      <w:color w:val="auto"/>
                      <w:szCs w:val="21"/>
                    </w:rPr>
                  </w:pPr>
                  <w:r>
                    <w:rPr>
                      <w:rFonts w:hint="eastAsia"/>
                      <w:color w:val="auto"/>
                      <w:szCs w:val="21"/>
                      <w:lang w:val="en-US" w:eastAsia="zh-CN"/>
                    </w:rPr>
                    <w:t>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66" w:hRule="exact"/>
                <w:jc w:val="center"/>
              </w:trPr>
              <w:tc>
                <w:tcPr>
                  <w:tcW w:w="887" w:type="dxa"/>
                  <w:vMerge w:val="continue"/>
                  <w:noWrap w:val="0"/>
                  <w:vAlign w:val="center"/>
                </w:tcPr>
                <w:p>
                  <w:pPr>
                    <w:jc w:val="center"/>
                    <w:rPr>
                      <w:color w:val="auto"/>
                      <w:szCs w:val="21"/>
                    </w:rPr>
                  </w:pPr>
                </w:p>
              </w:tc>
              <w:tc>
                <w:tcPr>
                  <w:tcW w:w="1542" w:type="dxa"/>
                  <w:noWrap w:val="0"/>
                  <w:vAlign w:val="center"/>
                </w:tcPr>
                <w:p>
                  <w:pPr>
                    <w:jc w:val="center"/>
                    <w:rPr>
                      <w:rFonts w:hint="eastAsia" w:eastAsia="宋体"/>
                      <w:color w:val="auto"/>
                      <w:szCs w:val="21"/>
                      <w:lang w:val="en-US" w:eastAsia="zh-CN"/>
                    </w:rPr>
                  </w:pPr>
                  <w:r>
                    <w:rPr>
                      <w:rFonts w:hint="eastAsia"/>
                      <w:color w:val="auto"/>
                      <w:szCs w:val="21"/>
                      <w:lang w:val="en-US" w:eastAsia="zh-CN"/>
                    </w:rPr>
                    <w:t>固废</w:t>
                  </w:r>
                </w:p>
              </w:tc>
              <w:tc>
                <w:tcPr>
                  <w:tcW w:w="4648" w:type="dxa"/>
                  <w:noWrap w:val="0"/>
                  <w:vAlign w:val="center"/>
                </w:tcPr>
                <w:p>
                  <w:pPr>
                    <w:jc w:val="center"/>
                    <w:rPr>
                      <w:rFonts w:hint="default" w:eastAsia="宋体"/>
                      <w:color w:val="auto"/>
                      <w:szCs w:val="21"/>
                      <w:lang w:val="en-US" w:eastAsia="zh-CN"/>
                    </w:rPr>
                  </w:pPr>
                  <w:r>
                    <w:rPr>
                      <w:rFonts w:hint="eastAsia"/>
                      <w:color w:val="auto"/>
                      <w:szCs w:val="21"/>
                      <w:lang w:val="en-US" w:eastAsia="zh-CN"/>
                    </w:rPr>
                    <w:t>固废暂存间、垃圾桶</w:t>
                  </w:r>
                </w:p>
              </w:tc>
              <w:tc>
                <w:tcPr>
                  <w:tcW w:w="1623" w:type="dxa"/>
                  <w:noWrap w:val="0"/>
                  <w:vAlign w:val="center"/>
                </w:tcPr>
                <w:p>
                  <w:pPr>
                    <w:jc w:val="center"/>
                    <w:rPr>
                      <w:rFonts w:hint="default" w:eastAsia="宋体"/>
                      <w:color w:val="auto"/>
                      <w:szCs w:val="21"/>
                      <w:lang w:val="en-US" w:eastAsia="zh-CN"/>
                    </w:rPr>
                  </w:pPr>
                  <w:r>
                    <w:rPr>
                      <w:rFonts w:hint="eastAsia"/>
                      <w:color w:val="auto"/>
                      <w:szCs w:val="21"/>
                      <w:lang w:val="en-US" w:eastAsia="zh-CN"/>
                    </w:rPr>
                    <w:t>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31" w:hRule="exact"/>
                <w:jc w:val="center"/>
              </w:trPr>
              <w:tc>
                <w:tcPr>
                  <w:tcW w:w="7077" w:type="dxa"/>
                  <w:gridSpan w:val="3"/>
                  <w:noWrap w:val="0"/>
                  <w:vAlign w:val="center"/>
                </w:tcPr>
                <w:p>
                  <w:pPr>
                    <w:jc w:val="center"/>
                    <w:rPr>
                      <w:color w:val="auto"/>
                      <w:szCs w:val="21"/>
                    </w:rPr>
                  </w:pPr>
                  <w:r>
                    <w:rPr>
                      <w:color w:val="auto"/>
                      <w:szCs w:val="21"/>
                    </w:rPr>
                    <w:t>总计</w:t>
                  </w:r>
                </w:p>
              </w:tc>
              <w:tc>
                <w:tcPr>
                  <w:tcW w:w="1623" w:type="dxa"/>
                  <w:noWrap w:val="0"/>
                  <w:vAlign w:val="center"/>
                </w:tcPr>
                <w:p>
                  <w:pPr>
                    <w:jc w:val="center"/>
                    <w:rPr>
                      <w:rFonts w:hint="default" w:eastAsia="宋体"/>
                      <w:color w:val="auto"/>
                      <w:szCs w:val="21"/>
                      <w:lang w:val="en-US" w:eastAsia="zh-CN"/>
                    </w:rPr>
                  </w:pPr>
                  <w:r>
                    <w:rPr>
                      <w:rFonts w:hint="eastAsia"/>
                      <w:color w:val="auto"/>
                      <w:szCs w:val="21"/>
                      <w:lang w:val="en-US" w:eastAsia="zh-CN"/>
                    </w:rPr>
                    <w:t>20</w:t>
                  </w:r>
                </w:p>
              </w:tc>
            </w:tr>
          </w:tbl>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43" w:hRule="atLeast"/>
        </w:trPr>
        <w:tc>
          <w:tcPr>
            <w:tcW w:w="8853" w:type="dxa"/>
            <w:gridSpan w:val="8"/>
            <w:noWrap w:val="0"/>
            <w:vAlign w:val="top"/>
          </w:tcPr>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color w:val="auto"/>
                <w:sz w:val="24"/>
                <w:szCs w:val="24"/>
              </w:rPr>
            </w:pPr>
            <w:r>
              <w:rPr>
                <w:rFonts w:hint="eastAsia"/>
                <w:color w:val="auto"/>
                <w:sz w:val="24"/>
                <w:szCs w:val="24"/>
              </w:rPr>
              <w:t>与本项目有关的原有污染情况及主要环境问题</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color w:val="auto"/>
                <w:sz w:val="24"/>
                <w:szCs w:val="24"/>
                <w:lang w:val="en-US" w:eastAsia="zh-CN"/>
              </w:rPr>
            </w:pPr>
            <w:r>
              <w:rPr>
                <w:rFonts w:hint="eastAsia"/>
                <w:color w:val="auto"/>
                <w:sz w:val="24"/>
                <w:szCs w:val="24"/>
                <w:lang w:val="en-US" w:eastAsia="zh-CN"/>
              </w:rPr>
              <w:t>项目为新建项目，无与本项目有关的原有污染情况及环境问题。现场照片见</w:t>
            </w:r>
            <w:r>
              <w:rPr>
                <w:rFonts w:hint="eastAsia"/>
                <w:b/>
                <w:bCs/>
                <w:color w:val="auto"/>
                <w:sz w:val="24"/>
                <w:szCs w:val="24"/>
                <w:lang w:val="en-US" w:eastAsia="zh-CN"/>
              </w:rPr>
              <w:t>附图8。</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color w:val="auto"/>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color w:val="auto"/>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rPr>
            </w:pPr>
          </w:p>
        </w:tc>
      </w:tr>
    </w:tbl>
    <w:p>
      <w:pPr>
        <w:spacing w:line="360" w:lineRule="auto"/>
        <w:outlineLvl w:val="0"/>
        <w:rPr>
          <w:rFonts w:hint="eastAsia" w:ascii="黑体" w:hAnsi="宋体" w:eastAsia="黑体"/>
          <w:b w:val="0"/>
          <w:bCs w:val="0"/>
          <w:sz w:val="28"/>
          <w:szCs w:val="28"/>
        </w:rPr>
      </w:pPr>
      <w:bookmarkStart w:id="1" w:name="_Toc523785281"/>
      <w:r>
        <w:rPr>
          <w:rFonts w:hint="eastAsia" w:ascii="黑体" w:hAnsi="宋体" w:eastAsia="黑体"/>
          <w:b w:val="0"/>
          <w:bCs w:val="0"/>
          <w:sz w:val="28"/>
          <w:szCs w:val="28"/>
        </w:rPr>
        <w:t>建设项目所在地环境简况</w:t>
      </w:r>
      <w:bookmarkEnd w:id="1"/>
    </w:p>
    <w:tbl>
      <w:tblPr>
        <w:tblStyle w:val="37"/>
        <w:tblW w:w="0" w:type="auto"/>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755"/>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rPr>
          <w:trHeight w:val="142" w:hRule="atLeast"/>
        </w:trPr>
        <w:tc>
          <w:tcPr>
            <w:tcW w:w="8755" w:type="dxa"/>
            <w:tcBorders>
              <w:bottom w:val="single" w:color="auto" w:sz="12" w:space="0"/>
            </w:tcBorders>
            <w:noWrap w:val="0"/>
            <w:vAlign w:val="top"/>
          </w:tcPr>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宋体" w:hAnsi="宋体" w:cs="宋体"/>
                <w:b/>
                <w:sz w:val="24"/>
                <w:szCs w:val="24"/>
              </w:rPr>
            </w:pPr>
            <w:r>
              <w:rPr>
                <w:rFonts w:hint="eastAsia" w:ascii="宋体" w:hAnsi="宋体" w:cs="宋体"/>
                <w:b/>
                <w:sz w:val="24"/>
                <w:szCs w:val="24"/>
              </w:rPr>
              <w:t>自然环境简况（地形、地貌、地质、气候、气象、水文、植被、生物多样性等）：</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b/>
                <w:bCs/>
                <w:color w:val="auto"/>
                <w:sz w:val="24"/>
              </w:rPr>
            </w:pPr>
            <w:r>
              <w:rPr>
                <w:b/>
                <w:bCs/>
                <w:color w:val="auto"/>
                <w:sz w:val="24"/>
              </w:rPr>
              <w:t>1. 地质、地貌</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color w:val="auto"/>
                <w:sz w:val="24"/>
              </w:rPr>
            </w:pPr>
            <w:r>
              <w:rPr>
                <w:rFonts w:hint="eastAsia" w:cs="Times New Roman" w:eastAsiaTheme="minorEastAsia"/>
                <w:b w:val="0"/>
                <w:bCs/>
                <w:sz w:val="24"/>
                <w:szCs w:val="22"/>
                <w:lang w:val="en-US" w:eastAsia="zh-CN"/>
              </w:rPr>
              <w:t>项目位于</w:t>
            </w:r>
            <w:r>
              <w:rPr>
                <w:rFonts w:hint="eastAsia" w:ascii="Times New Roman" w:hAnsi="Times New Roman" w:cs="Times New Roman" w:eastAsiaTheme="minorEastAsia"/>
                <w:b w:val="0"/>
                <w:bCs/>
                <w:sz w:val="24"/>
                <w:szCs w:val="22"/>
                <w:lang w:eastAsia="zh-CN"/>
              </w:rPr>
              <w:t>青岛西海岸新区大珠山路东、隐珠山路北</w:t>
            </w:r>
            <w:r>
              <w:rPr>
                <w:color w:val="auto"/>
                <w:sz w:val="24"/>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color w:val="auto"/>
                <w:sz w:val="24"/>
              </w:rPr>
            </w:pPr>
            <w:r>
              <w:rPr>
                <w:color w:val="auto"/>
                <w:sz w:val="24"/>
              </w:rPr>
              <w:t>西海岸新区地质构造上属于鲁东地质次一级改造单元，其断裂构造线主要为东北向。出露地表的岩石有变质岩、岩浆岩和沉积岩，风河下游为松散岩层。</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color w:val="auto"/>
                <w:sz w:val="24"/>
              </w:rPr>
            </w:pPr>
            <w:r>
              <w:rPr>
                <w:color w:val="auto"/>
                <w:sz w:val="24"/>
              </w:rPr>
              <w:t>西海岸新区属于临沭断裂带内的沭东沿海低山丘陵区，地势由西北向东南倾斜，全市共分为裸岩地、低山丘陵地、沿河平地和沿海低地4个地貌类型。全市最高处为北部的小珠山，海拔724m。</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b/>
                <w:bCs/>
                <w:color w:val="auto"/>
                <w:sz w:val="24"/>
              </w:rPr>
            </w:pPr>
            <w:r>
              <w:rPr>
                <w:b/>
                <w:bCs/>
                <w:color w:val="auto"/>
                <w:sz w:val="24"/>
              </w:rPr>
              <w:t>2. 气候、气象特征</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color w:val="auto"/>
                <w:sz w:val="24"/>
                <w:highlight w:val="yellow"/>
              </w:rPr>
            </w:pPr>
            <w:r>
              <w:rPr>
                <w:color w:val="auto"/>
                <w:sz w:val="24"/>
              </w:rPr>
              <w:t>青岛西海岸新区地处北温带季风区域内，暖温带半湿润大陆性气候，空气湿润，雨量充沛，温度适中，四季分明，有明显的海洋气候特点，具有春寒、夏凉、秋爽、冬暖的气候特征，是天然的避暑胜地。多年平均气温12.7℃，极端高气温38.9℃，极端低气温-16.4℃。全年8月份最热，平均气温25.1℃；1月份最冷，平均气温-1.2℃。年平均降雨量775.6mm，年降水量最多为1353.2,mm，最少仅407mm。年平均风速为4.9-5.3m/s，以东南风为主导风向。</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b/>
                <w:bCs/>
                <w:color w:val="auto"/>
                <w:sz w:val="24"/>
              </w:rPr>
            </w:pPr>
            <w:r>
              <w:rPr>
                <w:b/>
                <w:bCs/>
                <w:color w:val="auto"/>
                <w:sz w:val="24"/>
              </w:rPr>
              <w:t>3. 水文条件</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color w:val="auto"/>
                <w:sz w:val="24"/>
              </w:rPr>
            </w:pPr>
            <w:r>
              <w:rPr>
                <w:color w:val="auto"/>
                <w:sz w:val="24"/>
              </w:rPr>
              <w:t>青岛西海岸新区属东南沿海水系，均为季节性河流。水资源总量为2.5211亿m</w:t>
            </w:r>
            <w:r>
              <w:rPr>
                <w:color w:val="auto"/>
                <w:sz w:val="24"/>
                <w:vertAlign w:val="superscript"/>
              </w:rPr>
              <w:t>3</w:t>
            </w:r>
            <w:r>
              <w:rPr>
                <w:color w:val="auto"/>
                <w:sz w:val="24"/>
              </w:rPr>
              <w:t>（重复量0.5673亿m</w:t>
            </w:r>
            <w:r>
              <w:rPr>
                <w:color w:val="auto"/>
                <w:sz w:val="24"/>
                <w:vertAlign w:val="superscript"/>
              </w:rPr>
              <w:t>3</w:t>
            </w:r>
            <w:r>
              <w:rPr>
                <w:color w:val="auto"/>
                <w:sz w:val="24"/>
              </w:rPr>
              <w:t>），其中地表水资源总量为1.6879亿m</w:t>
            </w:r>
            <w:r>
              <w:rPr>
                <w:color w:val="auto"/>
                <w:sz w:val="24"/>
                <w:vertAlign w:val="superscript"/>
              </w:rPr>
              <w:t>3</w:t>
            </w:r>
            <w:r>
              <w:rPr>
                <w:color w:val="auto"/>
                <w:sz w:val="24"/>
              </w:rPr>
              <w:t>，地下水资源总量为1.4055亿m</w:t>
            </w:r>
            <w:r>
              <w:rPr>
                <w:color w:val="auto"/>
                <w:sz w:val="24"/>
                <w:vertAlign w:val="superscript"/>
              </w:rPr>
              <w:t>3</w:t>
            </w:r>
            <w:r>
              <w:rPr>
                <w:color w:val="auto"/>
                <w:sz w:val="24"/>
              </w:rPr>
              <w:t>。有风河、白马河、吉利河等几大水系，其中流域面积大于100平方公里的河流有风河、横河、吉利河、白马河、甜水河、洋河、漕汶河和胶河。这些河流均为季风区雨源型河流，位于山区，自成流域体系，源短流急，除胶河外均单独入海，汛期河水暴涨暴落，汛后基本断流。</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b/>
                <w:bCs/>
                <w:color w:val="auto"/>
                <w:sz w:val="24"/>
              </w:rPr>
            </w:pPr>
            <w:r>
              <w:rPr>
                <w:b/>
                <w:bCs/>
                <w:color w:val="auto"/>
                <w:sz w:val="24"/>
              </w:rPr>
              <w:t>4. 植被、生物多样性</w:t>
            </w:r>
          </w:p>
          <w:p>
            <w:pPr>
              <w:pStyle w:val="31"/>
              <w:keepNext w:val="0"/>
              <w:keepLines w:val="0"/>
              <w:pageBreakBefore w:val="0"/>
              <w:widowControl w:val="0"/>
              <w:kinsoku/>
              <w:wordWrap/>
              <w:overflowPunct/>
              <w:topLinePunct w:val="0"/>
              <w:autoSpaceDE/>
              <w:autoSpaceDN/>
              <w:bidi w:val="0"/>
              <w:adjustRightInd w:val="0"/>
              <w:snapToGrid w:val="0"/>
              <w:spacing w:after="0" w:afterLines="0" w:line="360" w:lineRule="auto"/>
              <w:ind w:left="0" w:leftChars="0" w:firstLine="480" w:firstLineChars="200"/>
              <w:textAlignment w:val="auto"/>
              <w:rPr>
                <w:rFonts w:ascii="Times New Roman" w:hAnsi="Times New Roman" w:eastAsia="宋体" w:cs="Times New Roman"/>
                <w:color w:val="auto"/>
                <w:kern w:val="2"/>
                <w:sz w:val="24"/>
                <w:szCs w:val="22"/>
                <w:lang w:val="en-US" w:eastAsia="zh-CN" w:bidi="ar-SA"/>
              </w:rPr>
            </w:pPr>
            <w:r>
              <w:rPr>
                <w:rFonts w:ascii="Times New Roman" w:hAnsi="Times New Roman" w:eastAsia="宋体" w:cs="Times New Roman"/>
                <w:color w:val="auto"/>
                <w:kern w:val="2"/>
                <w:sz w:val="24"/>
                <w:szCs w:val="22"/>
                <w:lang w:val="en-US" w:eastAsia="zh-CN" w:bidi="ar-SA"/>
              </w:rPr>
              <w:t>青岛西海岸新区地处山东半岛西南隅，胶州湾畔，属温带落叶阔叶林区，雨量充沛、四季分明，适合多种动植物生长。动、植物为我国华北地区农业生态系统的常见种类，山丘植被为常绿针叶林、落叶阔叶林；平原为草甸植被。野生动物有野兔、蛇、麻雀、喜鹊等。无珍稀、濒危物种存在。</w:t>
            </w:r>
          </w:p>
          <w:p>
            <w:pPr>
              <w:keepNext w:val="0"/>
              <w:keepLines w:val="0"/>
              <w:pageBreakBefore w:val="0"/>
              <w:widowControl w:val="0"/>
              <w:kinsoku/>
              <w:wordWrap/>
              <w:overflowPunct/>
              <w:topLinePunct w:val="0"/>
              <w:autoSpaceDE/>
              <w:bidi w:val="0"/>
              <w:adjustRightInd w:val="0"/>
              <w:snapToGrid w:val="0"/>
              <w:spacing w:line="360" w:lineRule="auto"/>
              <w:textAlignment w:val="auto"/>
              <w:rPr>
                <w:b/>
                <w:bCs/>
                <w:color w:val="auto"/>
                <w:sz w:val="24"/>
              </w:rPr>
            </w:pPr>
            <w:r>
              <w:rPr>
                <w:b/>
                <w:bCs/>
                <w:color w:val="auto"/>
                <w:sz w:val="24"/>
              </w:rPr>
              <w:t>5. 项目所在区域市政基础设施配套情况</w:t>
            </w:r>
          </w:p>
          <w:p>
            <w:pPr>
              <w:keepNext w:val="0"/>
              <w:keepLines w:val="0"/>
              <w:pageBreakBefore w:val="0"/>
              <w:widowControl w:val="0"/>
              <w:kinsoku/>
              <w:wordWrap/>
              <w:overflowPunct/>
              <w:topLinePunct w:val="0"/>
              <w:autoSpaceDE/>
              <w:bidi w:val="0"/>
              <w:adjustRightInd w:val="0"/>
              <w:snapToGrid w:val="0"/>
              <w:spacing w:line="360" w:lineRule="auto"/>
              <w:ind w:firstLine="480" w:firstLineChars="200"/>
              <w:textAlignment w:val="auto"/>
              <w:rPr>
                <w:color w:val="auto"/>
                <w:sz w:val="24"/>
              </w:rPr>
            </w:pPr>
            <w:bookmarkStart w:id="2" w:name="_Toc309993282"/>
            <w:bookmarkStart w:id="3" w:name="_Toc310274562"/>
            <w:r>
              <w:rPr>
                <w:color w:val="auto"/>
                <w:sz w:val="24"/>
              </w:rPr>
              <w:t>项目所在区域市政基础设施情况有：</w:t>
            </w:r>
          </w:p>
          <w:p>
            <w:pPr>
              <w:keepNext w:val="0"/>
              <w:keepLines w:val="0"/>
              <w:pageBreakBefore w:val="0"/>
              <w:widowControl w:val="0"/>
              <w:kinsoku/>
              <w:wordWrap/>
              <w:overflowPunct/>
              <w:topLinePunct w:val="0"/>
              <w:autoSpaceDE/>
              <w:bidi w:val="0"/>
              <w:adjustRightInd w:val="0"/>
              <w:snapToGrid w:val="0"/>
              <w:spacing w:line="360" w:lineRule="auto"/>
              <w:ind w:firstLine="480" w:firstLineChars="200"/>
              <w:textAlignment w:val="auto"/>
              <w:rPr>
                <w:color w:val="auto"/>
                <w:sz w:val="24"/>
              </w:rPr>
            </w:pPr>
            <w:r>
              <w:rPr>
                <w:color w:val="auto"/>
                <w:sz w:val="24"/>
              </w:rPr>
              <w:t>市政给水管网配套完善，项目用水由市政自来水管网统一供给。</w:t>
            </w:r>
          </w:p>
          <w:p>
            <w:pPr>
              <w:keepNext w:val="0"/>
              <w:keepLines w:val="0"/>
              <w:pageBreakBefore w:val="0"/>
              <w:widowControl w:val="0"/>
              <w:kinsoku/>
              <w:wordWrap/>
              <w:overflowPunct/>
              <w:topLinePunct w:val="0"/>
              <w:autoSpaceDE/>
              <w:bidi w:val="0"/>
              <w:adjustRightInd w:val="0"/>
              <w:snapToGrid w:val="0"/>
              <w:spacing w:line="360" w:lineRule="auto"/>
              <w:ind w:firstLine="480" w:firstLineChars="200"/>
              <w:textAlignment w:val="auto"/>
              <w:rPr>
                <w:color w:val="auto"/>
                <w:sz w:val="24"/>
              </w:rPr>
            </w:pPr>
            <w:r>
              <w:rPr>
                <w:color w:val="auto"/>
                <w:sz w:val="24"/>
              </w:rPr>
              <w:t>市政污水管网配套完善，项目采取污水采取雨污分流制，雨水进入市政雨水管网，废水经市政污水管网排入</w:t>
            </w:r>
            <w:r>
              <w:rPr>
                <w:rFonts w:hint="eastAsia"/>
                <w:color w:val="auto"/>
                <w:sz w:val="24"/>
                <w:lang w:val="en-US" w:eastAsia="zh-CN"/>
              </w:rPr>
              <w:t>青</w:t>
            </w:r>
            <w:r>
              <w:rPr>
                <w:rFonts w:hint="eastAsia"/>
                <w:color w:val="auto"/>
                <w:sz w:val="24"/>
                <w:szCs w:val="22"/>
                <w:lang w:val="en-US" w:eastAsia="zh-CN"/>
              </w:rPr>
              <w:t>岛</w:t>
            </w:r>
            <w:r>
              <w:rPr>
                <w:color w:val="auto"/>
                <w:sz w:val="24"/>
                <w:szCs w:val="22"/>
              </w:rPr>
              <w:t>海清环保科技有限公司污水处理厂处理</w:t>
            </w:r>
            <w:r>
              <w:rPr>
                <w:color w:val="auto"/>
                <w:sz w:val="24"/>
              </w:rPr>
              <w:t>。</w:t>
            </w:r>
          </w:p>
          <w:p>
            <w:pPr>
              <w:keepNext w:val="0"/>
              <w:keepLines w:val="0"/>
              <w:pageBreakBefore w:val="0"/>
              <w:widowControl w:val="0"/>
              <w:kinsoku/>
              <w:wordWrap/>
              <w:overflowPunct/>
              <w:topLinePunct w:val="0"/>
              <w:autoSpaceDE/>
              <w:bidi w:val="0"/>
              <w:adjustRightInd w:val="0"/>
              <w:snapToGrid w:val="0"/>
              <w:spacing w:line="360" w:lineRule="auto"/>
              <w:ind w:firstLine="480" w:firstLineChars="200"/>
              <w:textAlignment w:val="auto"/>
              <w:rPr>
                <w:color w:val="auto"/>
                <w:sz w:val="24"/>
              </w:rPr>
            </w:pPr>
            <w:r>
              <w:rPr>
                <w:color w:val="auto"/>
                <w:sz w:val="24"/>
              </w:rPr>
              <w:t>市政供电线路完善。</w:t>
            </w:r>
          </w:p>
          <w:bookmarkEnd w:id="2"/>
          <w:bookmarkEnd w:id="3"/>
          <w:p>
            <w:pPr>
              <w:keepNext w:val="0"/>
              <w:keepLines w:val="0"/>
              <w:pageBreakBefore w:val="0"/>
              <w:widowControl w:val="0"/>
              <w:kinsoku/>
              <w:wordWrap/>
              <w:overflowPunct/>
              <w:topLinePunct w:val="0"/>
              <w:autoSpaceDE/>
              <w:bidi w:val="0"/>
              <w:adjustRightInd w:val="0"/>
              <w:snapToGrid w:val="0"/>
              <w:spacing w:line="360" w:lineRule="auto"/>
              <w:textAlignment w:val="auto"/>
              <w:rPr>
                <w:b/>
                <w:bCs/>
                <w:color w:val="auto"/>
                <w:sz w:val="24"/>
              </w:rPr>
            </w:pPr>
            <w:r>
              <w:rPr>
                <w:b/>
                <w:bCs/>
                <w:color w:val="auto"/>
                <w:sz w:val="24"/>
              </w:rPr>
              <w:t>6、评价区域环境功能区划</w:t>
            </w:r>
          </w:p>
          <w:p>
            <w:pPr>
              <w:keepNext w:val="0"/>
              <w:keepLines w:val="0"/>
              <w:pageBreakBefore w:val="0"/>
              <w:widowControl w:val="0"/>
              <w:kinsoku/>
              <w:wordWrap/>
              <w:overflowPunct/>
              <w:topLinePunct w:val="0"/>
              <w:autoSpaceDE/>
              <w:bidi w:val="0"/>
              <w:adjustRightInd w:val="0"/>
              <w:snapToGrid w:val="0"/>
              <w:spacing w:line="360" w:lineRule="auto"/>
              <w:ind w:firstLine="480" w:firstLineChars="200"/>
              <w:textAlignment w:val="auto"/>
              <w:rPr>
                <w:color w:val="auto"/>
                <w:sz w:val="24"/>
              </w:rPr>
            </w:pPr>
            <w:r>
              <w:rPr>
                <w:color w:val="auto"/>
                <w:sz w:val="24"/>
              </w:rPr>
              <w:t>项目所在区域的环境空气划为二类功能区，环境空气质量执行《环境空气质量标准》（GB3095-2012）中的二级标准；</w:t>
            </w:r>
          </w:p>
          <w:p>
            <w:pPr>
              <w:keepNext w:val="0"/>
              <w:keepLines w:val="0"/>
              <w:pageBreakBefore w:val="0"/>
              <w:widowControl w:val="0"/>
              <w:kinsoku/>
              <w:wordWrap/>
              <w:overflowPunct/>
              <w:topLinePunct w:val="0"/>
              <w:autoSpaceDE/>
              <w:bidi w:val="0"/>
              <w:adjustRightInd w:val="0"/>
              <w:snapToGrid w:val="0"/>
              <w:spacing w:line="360" w:lineRule="auto"/>
              <w:ind w:firstLine="480" w:firstLineChars="200"/>
              <w:textAlignment w:val="auto"/>
              <w:rPr>
                <w:color w:val="auto"/>
                <w:sz w:val="24"/>
              </w:rPr>
            </w:pPr>
            <w:r>
              <w:rPr>
                <w:color w:val="auto"/>
                <w:sz w:val="24"/>
              </w:rPr>
              <w:t>项目所在区域声环境执行《声环境质量标准》（GB3096-2008）中的</w:t>
            </w:r>
            <w:r>
              <w:rPr>
                <w:rFonts w:hint="eastAsia"/>
                <w:color w:val="auto"/>
                <w:sz w:val="24"/>
                <w:lang w:val="en-US" w:eastAsia="zh-CN"/>
              </w:rPr>
              <w:t>3</w:t>
            </w:r>
            <w:r>
              <w:rPr>
                <w:color w:val="auto"/>
                <w:sz w:val="24"/>
              </w:rPr>
              <w:t>类区标准；</w:t>
            </w:r>
          </w:p>
          <w:p>
            <w:pPr>
              <w:keepNext w:val="0"/>
              <w:keepLines w:val="0"/>
              <w:pageBreakBefore w:val="0"/>
              <w:widowControl w:val="0"/>
              <w:kinsoku/>
              <w:wordWrap/>
              <w:overflowPunct/>
              <w:topLinePunct w:val="0"/>
              <w:autoSpaceDE/>
              <w:bidi w:val="0"/>
              <w:adjustRightInd w:val="0"/>
              <w:snapToGrid w:val="0"/>
              <w:spacing w:line="360" w:lineRule="auto"/>
              <w:ind w:firstLine="480" w:firstLineChars="200"/>
              <w:textAlignment w:val="auto"/>
              <w:rPr>
                <w:rFonts w:hint="eastAsia" w:eastAsia="宋体"/>
                <w:color w:val="auto"/>
                <w:sz w:val="24"/>
                <w:lang w:eastAsia="zh-CN"/>
              </w:rPr>
            </w:pPr>
            <w:r>
              <w:rPr>
                <w:color w:val="auto"/>
                <w:sz w:val="24"/>
              </w:rPr>
              <w:t>项目区域内的地下水环境质量执行《地下水质量标准》（GB/T14848-2017）中的</w:t>
            </w:r>
            <w:r>
              <w:rPr>
                <w:color w:val="auto"/>
                <w:sz w:val="24"/>
              </w:rPr>
              <w:fldChar w:fldCharType="begin"/>
            </w:r>
            <w:r>
              <w:rPr>
                <w:color w:val="auto"/>
                <w:sz w:val="24"/>
              </w:rPr>
              <w:instrText xml:space="preserve"> = 3 \* ROMAN </w:instrText>
            </w:r>
            <w:r>
              <w:rPr>
                <w:color w:val="auto"/>
                <w:sz w:val="24"/>
              </w:rPr>
              <w:fldChar w:fldCharType="separate"/>
            </w:r>
            <w:r>
              <w:rPr>
                <w:color w:val="auto"/>
                <w:sz w:val="24"/>
              </w:rPr>
              <w:t>Ⅲ</w:t>
            </w:r>
            <w:r>
              <w:rPr>
                <w:color w:val="auto"/>
                <w:sz w:val="24"/>
              </w:rPr>
              <w:fldChar w:fldCharType="end"/>
            </w:r>
            <w:r>
              <w:rPr>
                <w:color w:val="auto"/>
                <w:sz w:val="24"/>
              </w:rPr>
              <w:t>类标准</w:t>
            </w:r>
            <w:r>
              <w:rPr>
                <w:rFonts w:hint="eastAsia"/>
                <w:color w:val="auto"/>
                <w:sz w:val="24"/>
                <w:lang w:eastAsia="zh-CN"/>
              </w:rPr>
              <w:t>；</w:t>
            </w:r>
          </w:p>
          <w:p>
            <w:pPr>
              <w:keepNext w:val="0"/>
              <w:keepLines w:val="0"/>
              <w:pageBreakBefore w:val="0"/>
              <w:widowControl w:val="0"/>
              <w:kinsoku/>
              <w:wordWrap/>
              <w:overflowPunct/>
              <w:topLinePunct w:val="0"/>
              <w:autoSpaceDE/>
              <w:bidi w:val="0"/>
              <w:adjustRightInd w:val="0"/>
              <w:snapToGrid w:val="0"/>
              <w:spacing w:line="360" w:lineRule="auto"/>
              <w:ind w:firstLine="480" w:firstLineChars="200"/>
              <w:textAlignment w:val="auto"/>
              <w:rPr>
                <w:rFonts w:hint="eastAsia"/>
                <w:color w:val="auto"/>
                <w:sz w:val="24"/>
                <w:szCs w:val="22"/>
              </w:rPr>
            </w:pPr>
            <w:r>
              <w:rPr>
                <w:rFonts w:hint="eastAsia"/>
                <w:color w:val="auto"/>
                <w:sz w:val="24"/>
                <w:szCs w:val="22"/>
                <w:lang w:val="en-US" w:eastAsia="zh-CN"/>
              </w:rPr>
              <w:t>根据</w:t>
            </w:r>
            <w:r>
              <w:rPr>
                <w:rFonts w:hint="eastAsia"/>
                <w:color w:val="auto"/>
                <w:sz w:val="24"/>
                <w:szCs w:val="22"/>
              </w:rPr>
              <w:t>《青岛西海岸新区水功能区划》（青岛西海岸新区管委办公室 2018 年 2 月 14 号文件），大卢河水体功能为景观娱乐用水，水质目标执行《地表水环境质量标准》（GB3838-2002）表1中的Ⅴ类标准</w:t>
            </w:r>
            <w:r>
              <w:rPr>
                <w:rFonts w:hint="eastAsia"/>
                <w:color w:val="auto"/>
                <w:sz w:val="24"/>
                <w:szCs w:val="22"/>
                <w:lang w:val="en-US" w:eastAsia="zh-CN"/>
              </w:rPr>
              <w:t>。</w:t>
            </w:r>
          </w:p>
          <w:p>
            <w:pPr>
              <w:keepNext w:val="0"/>
              <w:keepLines w:val="0"/>
              <w:pageBreakBefore w:val="0"/>
              <w:widowControl w:val="0"/>
              <w:kinsoku/>
              <w:wordWrap/>
              <w:overflowPunct/>
              <w:topLinePunct w:val="0"/>
              <w:autoSpaceDE/>
              <w:autoSpaceDN w:val="0"/>
              <w:bidi w:val="0"/>
              <w:adjustRightInd w:val="0"/>
              <w:snapToGrid w:val="0"/>
              <w:spacing w:line="360" w:lineRule="auto"/>
              <w:ind w:firstLine="480" w:firstLineChars="200"/>
              <w:textAlignment w:val="auto"/>
              <w:rPr>
                <w:rFonts w:hint="eastAsia" w:ascii="宋体" w:hAnsi="宋体" w:cs="宋体"/>
                <w:sz w:val="24"/>
                <w:szCs w:val="24"/>
              </w:rPr>
            </w:pPr>
          </w:p>
          <w:p>
            <w:pPr>
              <w:pStyle w:val="2"/>
              <w:rPr>
                <w:rFonts w:hint="eastAsia"/>
              </w:rPr>
            </w:pPr>
          </w:p>
          <w:p>
            <w:pPr>
              <w:keepNext w:val="0"/>
              <w:keepLines w:val="0"/>
              <w:pageBreakBefore w:val="0"/>
              <w:widowControl w:val="0"/>
              <w:kinsoku/>
              <w:wordWrap/>
              <w:overflowPunct/>
              <w:topLinePunct w:val="0"/>
              <w:autoSpaceDE/>
              <w:autoSpaceDN w:val="0"/>
              <w:bidi w:val="0"/>
              <w:adjustRightInd w:val="0"/>
              <w:snapToGrid w:val="0"/>
              <w:spacing w:line="360" w:lineRule="auto"/>
              <w:ind w:firstLine="480" w:firstLineChars="200"/>
              <w:textAlignment w:val="auto"/>
              <w:rPr>
                <w:rFonts w:hint="eastAsia" w:ascii="宋体" w:hAnsi="宋体" w:cs="宋体"/>
                <w:sz w:val="24"/>
                <w:szCs w:val="24"/>
              </w:rPr>
            </w:pPr>
          </w:p>
          <w:p>
            <w:pPr>
              <w:keepNext w:val="0"/>
              <w:keepLines w:val="0"/>
              <w:pageBreakBefore w:val="0"/>
              <w:widowControl w:val="0"/>
              <w:kinsoku/>
              <w:wordWrap/>
              <w:overflowPunct/>
              <w:topLinePunct w:val="0"/>
              <w:autoSpaceDE/>
              <w:autoSpaceDN w:val="0"/>
              <w:bidi w:val="0"/>
              <w:adjustRightInd w:val="0"/>
              <w:snapToGrid w:val="0"/>
              <w:spacing w:line="360" w:lineRule="auto"/>
              <w:ind w:firstLine="480" w:firstLineChars="200"/>
              <w:textAlignment w:val="auto"/>
              <w:rPr>
                <w:rFonts w:hint="eastAsia" w:ascii="宋体" w:hAnsi="宋体" w:cs="宋体"/>
                <w:sz w:val="24"/>
                <w:szCs w:val="24"/>
              </w:rPr>
            </w:pPr>
          </w:p>
          <w:p>
            <w:pPr>
              <w:keepNext w:val="0"/>
              <w:keepLines w:val="0"/>
              <w:pageBreakBefore w:val="0"/>
              <w:widowControl w:val="0"/>
              <w:kinsoku/>
              <w:wordWrap/>
              <w:overflowPunct/>
              <w:topLinePunct w:val="0"/>
              <w:autoSpaceDE/>
              <w:autoSpaceDN w:val="0"/>
              <w:bidi w:val="0"/>
              <w:adjustRightInd w:val="0"/>
              <w:snapToGrid w:val="0"/>
              <w:spacing w:line="360" w:lineRule="auto"/>
              <w:ind w:firstLine="480" w:firstLineChars="200"/>
              <w:textAlignment w:val="auto"/>
              <w:rPr>
                <w:rFonts w:hint="eastAsia" w:ascii="宋体" w:hAnsi="宋体" w:cs="宋体"/>
                <w:sz w:val="24"/>
                <w:szCs w:val="24"/>
              </w:rPr>
            </w:pPr>
          </w:p>
          <w:p>
            <w:pPr>
              <w:autoSpaceDN w:val="0"/>
              <w:spacing w:line="360" w:lineRule="auto"/>
              <w:ind w:firstLine="480" w:firstLineChars="200"/>
              <w:rPr>
                <w:rFonts w:hint="eastAsia" w:ascii="宋体" w:hAnsi="宋体" w:cs="宋体"/>
                <w:sz w:val="24"/>
                <w:szCs w:val="24"/>
              </w:rPr>
            </w:pPr>
          </w:p>
          <w:p>
            <w:pPr>
              <w:autoSpaceDN w:val="0"/>
              <w:spacing w:line="360" w:lineRule="auto"/>
              <w:ind w:firstLine="480" w:firstLineChars="200"/>
              <w:rPr>
                <w:rFonts w:hint="eastAsia" w:ascii="宋体" w:hAnsi="宋体" w:cs="宋体"/>
                <w:sz w:val="24"/>
                <w:szCs w:val="24"/>
              </w:rPr>
            </w:pPr>
          </w:p>
          <w:p>
            <w:pPr>
              <w:autoSpaceDN w:val="0"/>
              <w:spacing w:line="360" w:lineRule="auto"/>
              <w:ind w:firstLine="480" w:firstLineChars="200"/>
              <w:rPr>
                <w:rFonts w:hint="eastAsia" w:ascii="宋体" w:hAnsi="宋体" w:cs="宋体"/>
                <w:sz w:val="24"/>
                <w:szCs w:val="24"/>
              </w:rPr>
            </w:pPr>
          </w:p>
          <w:p>
            <w:pPr>
              <w:autoSpaceDN w:val="0"/>
              <w:spacing w:line="520" w:lineRule="exact"/>
              <w:ind w:firstLine="480" w:firstLineChars="200"/>
              <w:rPr>
                <w:rFonts w:hint="eastAsia" w:ascii="宋体" w:hAnsi="宋体" w:cs="宋体"/>
                <w:sz w:val="24"/>
                <w:szCs w:val="24"/>
              </w:rPr>
            </w:pPr>
          </w:p>
          <w:p>
            <w:pPr>
              <w:autoSpaceDN w:val="0"/>
              <w:spacing w:line="520" w:lineRule="exact"/>
              <w:ind w:firstLine="480" w:firstLineChars="200"/>
              <w:rPr>
                <w:rFonts w:hint="eastAsia" w:ascii="宋体" w:hAnsi="宋体" w:cs="宋体"/>
                <w:sz w:val="24"/>
                <w:szCs w:val="24"/>
              </w:rPr>
            </w:pPr>
          </w:p>
        </w:tc>
      </w:tr>
    </w:tbl>
    <w:p>
      <w:pPr>
        <w:spacing w:line="360" w:lineRule="auto"/>
        <w:outlineLvl w:val="0"/>
        <w:rPr>
          <w:rFonts w:hint="eastAsia" w:ascii="黑体" w:hAnsi="宋体" w:eastAsia="黑体"/>
          <w:b w:val="0"/>
          <w:bCs w:val="0"/>
          <w:sz w:val="28"/>
          <w:szCs w:val="28"/>
        </w:rPr>
      </w:pPr>
      <w:bookmarkStart w:id="4" w:name="_Toc523785282"/>
      <w:r>
        <w:rPr>
          <w:rFonts w:hint="eastAsia" w:ascii="黑体" w:hAnsi="宋体" w:eastAsia="黑体"/>
          <w:b w:val="0"/>
          <w:bCs w:val="0"/>
          <w:sz w:val="28"/>
          <w:szCs w:val="28"/>
        </w:rPr>
        <w:t>环境质量状况</w:t>
      </w:r>
      <w:bookmarkEnd w:id="4"/>
    </w:p>
    <w:tbl>
      <w:tblPr>
        <w:tblStyle w:val="37"/>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894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8946" w:type="dxa"/>
            <w:noWrap w:val="0"/>
            <w:vAlign w:val="top"/>
          </w:tcPr>
          <w:p>
            <w:pPr>
              <w:snapToGrid w:val="0"/>
              <w:spacing w:line="520" w:lineRule="exact"/>
              <w:rPr>
                <w:rFonts w:hint="eastAsia" w:ascii="宋体" w:hAnsi="宋体" w:cs="宋体"/>
                <w:b/>
                <w:bCs/>
                <w:sz w:val="28"/>
                <w:szCs w:val="24"/>
              </w:rPr>
            </w:pPr>
            <w:r>
              <w:rPr>
                <w:rFonts w:hint="eastAsia" w:ascii="宋体" w:hAnsi="宋体" w:cs="宋体"/>
                <w:b/>
                <w:bCs/>
                <w:sz w:val="28"/>
                <w:szCs w:val="24"/>
              </w:rPr>
              <w:t>建设项目所在地区域环境质量现状及主要环境问题（环境空气、地面水、地下水、声环境、生态环境等）：</w:t>
            </w:r>
          </w:p>
          <w:p>
            <w:pPr>
              <w:tabs>
                <w:tab w:val="left" w:pos="780"/>
                <w:tab w:val="left" w:pos="1039"/>
                <w:tab w:val="left" w:pos="1081"/>
              </w:tabs>
              <w:adjustRightInd w:val="0"/>
              <w:snapToGrid w:val="0"/>
              <w:spacing w:line="360" w:lineRule="auto"/>
              <w:ind w:firstLine="482" w:firstLineChars="200"/>
              <w:rPr>
                <w:b/>
                <w:bCs w:val="0"/>
                <w:color w:val="auto"/>
                <w:sz w:val="24"/>
                <w:szCs w:val="22"/>
                <w:lang w:val="zh-CN"/>
              </w:rPr>
            </w:pPr>
            <w:r>
              <w:rPr>
                <w:b/>
                <w:bCs w:val="0"/>
                <w:color w:val="auto"/>
                <w:sz w:val="24"/>
                <w:szCs w:val="22"/>
                <w:lang w:val="zh-CN"/>
              </w:rPr>
              <w:t>1、201</w:t>
            </w:r>
            <w:r>
              <w:rPr>
                <w:b/>
                <w:bCs w:val="0"/>
                <w:color w:val="auto"/>
                <w:sz w:val="24"/>
                <w:szCs w:val="22"/>
              </w:rPr>
              <w:t>8</w:t>
            </w:r>
            <w:r>
              <w:rPr>
                <w:b/>
                <w:bCs w:val="0"/>
                <w:color w:val="auto"/>
                <w:sz w:val="24"/>
                <w:szCs w:val="22"/>
                <w:lang w:val="zh-CN"/>
              </w:rPr>
              <w:t>年区域环境空气质量</w:t>
            </w:r>
          </w:p>
          <w:p>
            <w:pPr>
              <w:adjustRightInd w:val="0"/>
              <w:snapToGrid w:val="0"/>
              <w:spacing w:line="360" w:lineRule="auto"/>
              <w:ind w:firstLine="480" w:firstLineChars="200"/>
              <w:rPr>
                <w:color w:val="auto"/>
                <w:sz w:val="24"/>
              </w:rPr>
            </w:pPr>
            <w:r>
              <w:rPr>
                <w:color w:val="auto"/>
                <w:sz w:val="24"/>
              </w:rPr>
              <w:t>根据《2018年青岛市生态环境状况公报》，青岛市市区2018年环境空气主要污染物监测结果统计见表</w:t>
            </w:r>
            <w:r>
              <w:rPr>
                <w:rFonts w:hint="eastAsia"/>
                <w:color w:val="auto"/>
                <w:sz w:val="24"/>
                <w:lang w:val="en-US" w:eastAsia="zh-CN"/>
              </w:rPr>
              <w:t>6</w:t>
            </w:r>
            <w:r>
              <w:rPr>
                <w:color w:val="auto"/>
                <w:sz w:val="24"/>
              </w:rPr>
              <w:t>。</w:t>
            </w:r>
          </w:p>
          <w:p>
            <w:pPr>
              <w:snapToGrid w:val="0"/>
              <w:spacing w:line="360" w:lineRule="auto"/>
              <w:jc w:val="center"/>
              <w:rPr>
                <w:color w:val="auto"/>
                <w:sz w:val="24"/>
              </w:rPr>
            </w:pPr>
            <w:r>
              <w:rPr>
                <w:rFonts w:eastAsia="黑体"/>
                <w:color w:val="auto"/>
                <w:szCs w:val="21"/>
              </w:rPr>
              <w:t>表</w:t>
            </w:r>
            <w:r>
              <w:rPr>
                <w:rFonts w:hint="eastAsia" w:eastAsia="黑体"/>
                <w:color w:val="auto"/>
                <w:szCs w:val="21"/>
                <w:lang w:val="en-US" w:eastAsia="zh-CN"/>
              </w:rPr>
              <w:t>6</w:t>
            </w:r>
            <w:r>
              <w:rPr>
                <w:rFonts w:eastAsia="黑体"/>
                <w:color w:val="auto"/>
                <w:szCs w:val="21"/>
              </w:rPr>
              <w:t xml:space="preserve">  青岛市市区</w:t>
            </w:r>
            <w:r>
              <w:rPr>
                <w:rFonts w:eastAsia="黑体"/>
                <w:bCs/>
                <w:color w:val="auto"/>
                <w:szCs w:val="21"/>
              </w:rPr>
              <w:t>2018年环境空气主要污染物监测结果统计</w:t>
            </w:r>
            <w:r>
              <w:rPr>
                <w:b/>
                <w:bCs/>
                <w:color w:val="auto"/>
                <w:sz w:val="24"/>
              </w:rPr>
              <w:t xml:space="preserve"> </w:t>
            </w:r>
            <w:r>
              <w:rPr>
                <w:rFonts w:eastAsia="黑体"/>
                <w:bCs/>
                <w:color w:val="auto"/>
                <w:szCs w:val="21"/>
              </w:rPr>
              <w:t xml:space="preserve"> 单位：ug/m</w:t>
            </w:r>
            <w:r>
              <w:rPr>
                <w:rFonts w:eastAsia="黑体"/>
                <w:bCs/>
                <w:color w:val="auto"/>
                <w:szCs w:val="21"/>
                <w:vertAlign w:val="superscript"/>
              </w:rPr>
              <w:t>3</w:t>
            </w:r>
          </w:p>
          <w:tbl>
            <w:tblPr>
              <w:tblStyle w:val="37"/>
              <w:tblW w:w="4998"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390"/>
              <w:gridCol w:w="1221"/>
              <w:gridCol w:w="1223"/>
              <w:gridCol w:w="1226"/>
              <w:gridCol w:w="1219"/>
              <w:gridCol w:w="1223"/>
              <w:gridCol w:w="1225"/>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796" w:type="pct"/>
                  <w:noWrap w:val="0"/>
                  <w:vAlign w:val="center"/>
                </w:tcPr>
                <w:p>
                  <w:pPr>
                    <w:jc w:val="center"/>
                    <w:rPr>
                      <w:bCs/>
                      <w:color w:val="auto"/>
                      <w:szCs w:val="21"/>
                    </w:rPr>
                  </w:pPr>
                  <w:r>
                    <w:rPr>
                      <w:bCs/>
                      <w:color w:val="auto"/>
                      <w:szCs w:val="21"/>
                    </w:rPr>
                    <w:t>行政区</w:t>
                  </w:r>
                </w:p>
              </w:tc>
              <w:tc>
                <w:tcPr>
                  <w:tcW w:w="699" w:type="pct"/>
                  <w:noWrap w:val="0"/>
                  <w:vAlign w:val="center"/>
                </w:tcPr>
                <w:p>
                  <w:pPr>
                    <w:jc w:val="center"/>
                    <w:rPr>
                      <w:bCs/>
                      <w:color w:val="auto"/>
                      <w:szCs w:val="21"/>
                    </w:rPr>
                  </w:pPr>
                  <w:r>
                    <w:rPr>
                      <w:bCs/>
                      <w:color w:val="auto"/>
                      <w:szCs w:val="21"/>
                    </w:rPr>
                    <w:t>SO</w:t>
                  </w:r>
                  <w:r>
                    <w:rPr>
                      <w:bCs/>
                      <w:color w:val="auto"/>
                      <w:szCs w:val="21"/>
                      <w:vertAlign w:val="subscript"/>
                    </w:rPr>
                    <w:t>2</w:t>
                  </w:r>
                </w:p>
              </w:tc>
              <w:tc>
                <w:tcPr>
                  <w:tcW w:w="700" w:type="pct"/>
                  <w:noWrap w:val="0"/>
                  <w:vAlign w:val="center"/>
                </w:tcPr>
                <w:p>
                  <w:pPr>
                    <w:jc w:val="center"/>
                    <w:rPr>
                      <w:bCs/>
                      <w:color w:val="auto"/>
                      <w:szCs w:val="21"/>
                    </w:rPr>
                  </w:pPr>
                  <w:r>
                    <w:rPr>
                      <w:bCs/>
                      <w:color w:val="auto"/>
                      <w:szCs w:val="21"/>
                    </w:rPr>
                    <w:t>NO</w:t>
                  </w:r>
                  <w:r>
                    <w:rPr>
                      <w:bCs/>
                      <w:color w:val="auto"/>
                      <w:szCs w:val="21"/>
                      <w:vertAlign w:val="subscript"/>
                    </w:rPr>
                    <w:t>2</w:t>
                  </w:r>
                </w:p>
              </w:tc>
              <w:tc>
                <w:tcPr>
                  <w:tcW w:w="702" w:type="pct"/>
                  <w:noWrap w:val="0"/>
                  <w:vAlign w:val="center"/>
                </w:tcPr>
                <w:p>
                  <w:pPr>
                    <w:jc w:val="center"/>
                    <w:rPr>
                      <w:bCs/>
                      <w:color w:val="auto"/>
                      <w:szCs w:val="21"/>
                    </w:rPr>
                  </w:pPr>
                  <w:r>
                    <w:rPr>
                      <w:bCs/>
                      <w:color w:val="auto"/>
                      <w:szCs w:val="21"/>
                    </w:rPr>
                    <w:t>CO mg/m</w:t>
                  </w:r>
                  <w:r>
                    <w:rPr>
                      <w:bCs/>
                      <w:color w:val="auto"/>
                      <w:szCs w:val="21"/>
                      <w:vertAlign w:val="superscript"/>
                    </w:rPr>
                    <w:t>3</w:t>
                  </w:r>
                </w:p>
              </w:tc>
              <w:tc>
                <w:tcPr>
                  <w:tcW w:w="698" w:type="pct"/>
                  <w:noWrap w:val="0"/>
                  <w:vAlign w:val="center"/>
                </w:tcPr>
                <w:p>
                  <w:pPr>
                    <w:jc w:val="center"/>
                    <w:rPr>
                      <w:bCs/>
                      <w:color w:val="auto"/>
                      <w:szCs w:val="21"/>
                    </w:rPr>
                  </w:pPr>
                  <w:r>
                    <w:rPr>
                      <w:bCs/>
                      <w:color w:val="auto"/>
                      <w:szCs w:val="21"/>
                    </w:rPr>
                    <w:t>O</w:t>
                  </w:r>
                  <w:r>
                    <w:rPr>
                      <w:bCs/>
                      <w:color w:val="auto"/>
                      <w:szCs w:val="21"/>
                      <w:vertAlign w:val="subscript"/>
                    </w:rPr>
                    <w:t>3</w:t>
                  </w:r>
                </w:p>
              </w:tc>
              <w:tc>
                <w:tcPr>
                  <w:tcW w:w="700" w:type="pct"/>
                  <w:noWrap w:val="0"/>
                  <w:vAlign w:val="center"/>
                </w:tcPr>
                <w:p>
                  <w:pPr>
                    <w:jc w:val="center"/>
                    <w:rPr>
                      <w:bCs/>
                      <w:color w:val="auto"/>
                      <w:szCs w:val="21"/>
                    </w:rPr>
                  </w:pPr>
                  <w:r>
                    <w:rPr>
                      <w:bCs/>
                      <w:color w:val="auto"/>
                      <w:szCs w:val="21"/>
                    </w:rPr>
                    <w:t>PM</w:t>
                  </w:r>
                  <w:r>
                    <w:rPr>
                      <w:bCs/>
                      <w:color w:val="auto"/>
                      <w:szCs w:val="21"/>
                      <w:vertAlign w:val="subscript"/>
                    </w:rPr>
                    <w:t>10</w:t>
                  </w:r>
                </w:p>
              </w:tc>
              <w:tc>
                <w:tcPr>
                  <w:tcW w:w="701" w:type="pct"/>
                  <w:noWrap w:val="0"/>
                  <w:vAlign w:val="center"/>
                </w:tcPr>
                <w:p>
                  <w:pPr>
                    <w:jc w:val="center"/>
                    <w:rPr>
                      <w:bCs/>
                      <w:color w:val="auto"/>
                      <w:szCs w:val="21"/>
                    </w:rPr>
                  </w:pPr>
                  <w:r>
                    <w:rPr>
                      <w:bCs/>
                      <w:color w:val="auto"/>
                      <w:szCs w:val="21"/>
                    </w:rPr>
                    <w:t>PM</w:t>
                  </w:r>
                  <w:r>
                    <w:rPr>
                      <w:bCs/>
                      <w:color w:val="auto"/>
                      <w:szCs w:val="21"/>
                      <w:vertAlign w:val="subscript"/>
                    </w:rPr>
                    <w:t>2.5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796" w:type="pct"/>
                  <w:noWrap w:val="0"/>
                  <w:vAlign w:val="center"/>
                </w:tcPr>
                <w:p>
                  <w:pPr>
                    <w:jc w:val="center"/>
                    <w:rPr>
                      <w:color w:val="auto"/>
                      <w:szCs w:val="21"/>
                    </w:rPr>
                  </w:pPr>
                  <w:r>
                    <w:rPr>
                      <w:color w:val="auto"/>
                      <w:szCs w:val="21"/>
                    </w:rPr>
                    <w:t>青岛市市区</w:t>
                  </w:r>
                </w:p>
              </w:tc>
              <w:tc>
                <w:tcPr>
                  <w:tcW w:w="699" w:type="pct"/>
                  <w:noWrap w:val="0"/>
                  <w:vAlign w:val="center"/>
                </w:tcPr>
                <w:p>
                  <w:pPr>
                    <w:jc w:val="center"/>
                    <w:rPr>
                      <w:color w:val="auto"/>
                      <w:szCs w:val="21"/>
                    </w:rPr>
                  </w:pPr>
                  <w:r>
                    <w:rPr>
                      <w:color w:val="auto"/>
                      <w:szCs w:val="21"/>
                    </w:rPr>
                    <w:t>10</w:t>
                  </w:r>
                </w:p>
              </w:tc>
              <w:tc>
                <w:tcPr>
                  <w:tcW w:w="700" w:type="pct"/>
                  <w:noWrap w:val="0"/>
                  <w:vAlign w:val="center"/>
                </w:tcPr>
                <w:p>
                  <w:pPr>
                    <w:jc w:val="center"/>
                    <w:rPr>
                      <w:color w:val="auto"/>
                      <w:szCs w:val="21"/>
                    </w:rPr>
                  </w:pPr>
                  <w:r>
                    <w:rPr>
                      <w:color w:val="auto"/>
                      <w:szCs w:val="21"/>
                    </w:rPr>
                    <w:t>31</w:t>
                  </w:r>
                </w:p>
              </w:tc>
              <w:tc>
                <w:tcPr>
                  <w:tcW w:w="702" w:type="pct"/>
                  <w:noWrap w:val="0"/>
                  <w:vAlign w:val="center"/>
                </w:tcPr>
                <w:p>
                  <w:pPr>
                    <w:jc w:val="center"/>
                    <w:rPr>
                      <w:color w:val="auto"/>
                      <w:szCs w:val="21"/>
                    </w:rPr>
                  </w:pPr>
                  <w:r>
                    <w:rPr>
                      <w:color w:val="auto"/>
                      <w:szCs w:val="21"/>
                    </w:rPr>
                    <w:t>1.4</w:t>
                  </w:r>
                </w:p>
              </w:tc>
              <w:tc>
                <w:tcPr>
                  <w:tcW w:w="698" w:type="pct"/>
                  <w:noWrap w:val="0"/>
                  <w:vAlign w:val="center"/>
                </w:tcPr>
                <w:p>
                  <w:pPr>
                    <w:jc w:val="center"/>
                    <w:rPr>
                      <w:color w:val="auto"/>
                      <w:szCs w:val="21"/>
                    </w:rPr>
                  </w:pPr>
                  <w:r>
                    <w:rPr>
                      <w:color w:val="auto"/>
                      <w:szCs w:val="21"/>
                    </w:rPr>
                    <w:t>154</w:t>
                  </w:r>
                </w:p>
              </w:tc>
              <w:tc>
                <w:tcPr>
                  <w:tcW w:w="700" w:type="pct"/>
                  <w:noWrap w:val="0"/>
                  <w:vAlign w:val="center"/>
                </w:tcPr>
                <w:p>
                  <w:pPr>
                    <w:jc w:val="center"/>
                    <w:rPr>
                      <w:color w:val="auto"/>
                      <w:szCs w:val="21"/>
                    </w:rPr>
                  </w:pPr>
                  <w:r>
                    <w:rPr>
                      <w:color w:val="auto"/>
                      <w:szCs w:val="21"/>
                    </w:rPr>
                    <w:t>72</w:t>
                  </w:r>
                </w:p>
              </w:tc>
              <w:tc>
                <w:tcPr>
                  <w:tcW w:w="701" w:type="pct"/>
                  <w:noWrap w:val="0"/>
                  <w:vAlign w:val="center"/>
                </w:tcPr>
                <w:p>
                  <w:pPr>
                    <w:jc w:val="center"/>
                    <w:rPr>
                      <w:color w:val="auto"/>
                      <w:szCs w:val="21"/>
                    </w:rPr>
                  </w:pPr>
                  <w:r>
                    <w:rPr>
                      <w:color w:val="auto"/>
                      <w:szCs w:val="21"/>
                    </w:rPr>
                    <w:t>34</w:t>
                  </w:r>
                </w:p>
              </w:tc>
            </w:tr>
          </w:tbl>
          <w:p>
            <w:pPr>
              <w:keepNext w:val="0"/>
              <w:keepLines w:val="0"/>
              <w:pageBreakBefore w:val="0"/>
              <w:widowControl w:val="0"/>
              <w:kinsoku/>
              <w:wordWrap/>
              <w:overflowPunct/>
              <w:topLinePunct w:val="0"/>
              <w:bidi w:val="0"/>
              <w:adjustRightInd w:val="0"/>
              <w:snapToGrid w:val="0"/>
              <w:spacing w:line="360" w:lineRule="auto"/>
              <w:ind w:leftChars="0" w:firstLine="482"/>
              <w:rPr>
                <w:color w:val="auto"/>
                <w:sz w:val="24"/>
                <w:szCs w:val="24"/>
                <w:lang w:val="zh-CN"/>
              </w:rPr>
            </w:pPr>
            <w:r>
              <w:rPr>
                <w:color w:val="auto"/>
                <w:sz w:val="24"/>
                <w:lang w:val="zh-CN"/>
              </w:rPr>
              <w:t>环境空气质量状况：2018年</w:t>
            </w:r>
            <w:r>
              <w:rPr>
                <w:color w:val="auto"/>
                <w:sz w:val="24"/>
              </w:rPr>
              <w:t>青岛市市区PM2.5、SO2、NO2、O3、CO浓度符合《环境空气质量标准》（GB3095-2012）中二级标准，PM10浓度超出二级标准，超标倍数为0.03倍。项目所在区域环境空气质量属于不达标区。PM</w:t>
            </w:r>
            <w:r>
              <w:rPr>
                <w:color w:val="auto"/>
                <w:sz w:val="24"/>
                <w:vertAlign w:val="subscript"/>
              </w:rPr>
              <w:t>2.5</w:t>
            </w:r>
            <w:r>
              <w:rPr>
                <w:color w:val="auto"/>
                <w:sz w:val="24"/>
                <w:lang w:val="zh-CN"/>
              </w:rPr>
              <w:t>、</w:t>
            </w:r>
            <w:r>
              <w:rPr>
                <w:color w:val="auto"/>
                <w:sz w:val="24"/>
              </w:rPr>
              <w:t>PM</w:t>
            </w:r>
            <w:r>
              <w:rPr>
                <w:color w:val="auto"/>
                <w:sz w:val="24"/>
                <w:vertAlign w:val="subscript"/>
              </w:rPr>
              <w:t>10</w:t>
            </w:r>
            <w:r>
              <w:rPr>
                <w:color w:val="auto"/>
                <w:sz w:val="24"/>
                <w:lang w:val="zh-CN"/>
              </w:rPr>
              <w:t>、</w:t>
            </w:r>
            <w:r>
              <w:rPr>
                <w:color w:val="auto"/>
                <w:sz w:val="24"/>
              </w:rPr>
              <w:t>SO</w:t>
            </w:r>
            <w:r>
              <w:rPr>
                <w:color w:val="auto"/>
                <w:sz w:val="24"/>
                <w:vertAlign w:val="subscript"/>
              </w:rPr>
              <w:t>2</w:t>
            </w:r>
            <w:r>
              <w:rPr>
                <w:color w:val="auto"/>
                <w:sz w:val="24"/>
                <w:lang w:val="zh-CN"/>
              </w:rPr>
              <w:t>、</w:t>
            </w:r>
            <w:r>
              <w:rPr>
                <w:color w:val="auto"/>
                <w:sz w:val="24"/>
              </w:rPr>
              <w:t>NO</w:t>
            </w:r>
            <w:r>
              <w:rPr>
                <w:color w:val="auto"/>
                <w:sz w:val="24"/>
                <w:vertAlign w:val="subscript"/>
              </w:rPr>
              <w:t>2</w:t>
            </w:r>
            <w:r>
              <w:rPr>
                <w:color w:val="auto"/>
                <w:sz w:val="24"/>
                <w:lang w:val="zh-CN"/>
              </w:rPr>
              <w:t>、</w:t>
            </w:r>
            <w:r>
              <w:rPr>
                <w:color w:val="auto"/>
                <w:sz w:val="24"/>
              </w:rPr>
              <w:t>O</w:t>
            </w:r>
            <w:r>
              <w:rPr>
                <w:color w:val="auto"/>
                <w:sz w:val="24"/>
                <w:vertAlign w:val="subscript"/>
              </w:rPr>
              <w:t>3</w:t>
            </w:r>
            <w:r>
              <w:rPr>
                <w:color w:val="auto"/>
                <w:sz w:val="24"/>
                <w:lang w:val="zh-CN"/>
              </w:rPr>
              <w:t>浓度同比分别改善8.1%、5.3%、28.6%、6.1%、10.5%，CO浓度基本持平。</w:t>
            </w:r>
            <w:r>
              <w:rPr>
                <w:color w:val="auto"/>
                <w:sz w:val="24"/>
              </w:rPr>
              <w:t>PM</w:t>
            </w:r>
            <w:r>
              <w:rPr>
                <w:color w:val="auto"/>
                <w:sz w:val="24"/>
                <w:vertAlign w:val="subscript"/>
              </w:rPr>
              <w:t>2.5</w:t>
            </w:r>
            <w:r>
              <w:rPr>
                <w:color w:val="auto"/>
                <w:sz w:val="24"/>
                <w:lang w:val="zh-CN"/>
              </w:rPr>
              <w:t>、</w:t>
            </w:r>
            <w:r>
              <w:rPr>
                <w:color w:val="auto"/>
                <w:sz w:val="24"/>
              </w:rPr>
              <w:t>PM</w:t>
            </w:r>
            <w:r>
              <w:rPr>
                <w:color w:val="auto"/>
                <w:sz w:val="24"/>
                <w:vertAlign w:val="subscript"/>
              </w:rPr>
              <w:t>10</w:t>
            </w:r>
            <w:r>
              <w:rPr>
                <w:color w:val="auto"/>
                <w:sz w:val="24"/>
                <w:lang w:val="zh-CN"/>
              </w:rPr>
              <w:t>、</w:t>
            </w:r>
            <w:r>
              <w:rPr>
                <w:color w:val="auto"/>
                <w:sz w:val="24"/>
              </w:rPr>
              <w:t>SO</w:t>
            </w:r>
            <w:r>
              <w:rPr>
                <w:color w:val="auto"/>
                <w:sz w:val="24"/>
                <w:vertAlign w:val="subscript"/>
              </w:rPr>
              <w:t>2</w:t>
            </w:r>
            <w:r>
              <w:rPr>
                <w:color w:val="auto"/>
                <w:sz w:val="24"/>
                <w:lang w:val="zh-CN"/>
              </w:rPr>
              <w:t>、</w:t>
            </w:r>
            <w:r>
              <w:rPr>
                <w:color w:val="auto"/>
                <w:sz w:val="24"/>
              </w:rPr>
              <w:t>NO</w:t>
            </w:r>
            <w:r>
              <w:rPr>
                <w:color w:val="auto"/>
                <w:sz w:val="24"/>
                <w:vertAlign w:val="subscript"/>
              </w:rPr>
              <w:t>2</w:t>
            </w:r>
            <w:r>
              <w:rPr>
                <w:color w:val="auto"/>
                <w:sz w:val="24"/>
                <w:lang w:val="zh-CN"/>
              </w:rPr>
              <w:t>浓度均为2013年以来最好水平，且</w:t>
            </w:r>
            <w:r>
              <w:rPr>
                <w:color w:val="auto"/>
                <w:sz w:val="24"/>
              </w:rPr>
              <w:t>SO</w:t>
            </w:r>
            <w:r>
              <w:rPr>
                <w:color w:val="auto"/>
                <w:sz w:val="24"/>
                <w:vertAlign w:val="subscript"/>
              </w:rPr>
              <w:t>2</w:t>
            </w:r>
            <w:r>
              <w:rPr>
                <w:color w:val="auto"/>
                <w:sz w:val="24"/>
                <w:lang w:val="zh-CN"/>
              </w:rPr>
              <w:t>、</w:t>
            </w:r>
            <w:r>
              <w:rPr>
                <w:color w:val="auto"/>
                <w:sz w:val="24"/>
              </w:rPr>
              <w:t>NO</w:t>
            </w:r>
            <w:r>
              <w:rPr>
                <w:color w:val="auto"/>
                <w:sz w:val="24"/>
                <w:vertAlign w:val="subscript"/>
              </w:rPr>
              <w:t>2</w:t>
            </w:r>
            <w:r>
              <w:rPr>
                <w:color w:val="auto"/>
                <w:sz w:val="24"/>
                <w:lang w:val="zh-CN"/>
              </w:rPr>
              <w:t>连续三年稳定达到国家一级标准，空气质量优良率85.3%，同比增加6.7个百分点，为2013年以来</w:t>
            </w:r>
            <w:r>
              <w:rPr>
                <w:color w:val="auto"/>
                <w:sz w:val="24"/>
                <w:szCs w:val="24"/>
                <w:lang w:val="zh-CN"/>
              </w:rPr>
              <w:t>最好水平。总体来看，2018年为自2013年实施《环境空气质量标准》（GB3095-2012）以来空气质量最好的年份。</w:t>
            </w:r>
          </w:p>
          <w:p>
            <w:pPr>
              <w:keepNext w:val="0"/>
              <w:keepLines w:val="0"/>
              <w:pageBreakBefore w:val="0"/>
              <w:widowControl w:val="0"/>
              <w:kinsoku/>
              <w:wordWrap/>
              <w:overflowPunct/>
              <w:topLinePunct w:val="0"/>
              <w:bidi w:val="0"/>
              <w:adjustRightInd w:val="0"/>
              <w:snapToGrid w:val="0"/>
              <w:spacing w:line="360" w:lineRule="auto"/>
              <w:ind w:leftChars="0" w:firstLine="482"/>
              <w:rPr>
                <w:color w:val="auto"/>
                <w:sz w:val="24"/>
                <w:szCs w:val="24"/>
                <w:lang w:val="zh-CN"/>
              </w:rPr>
            </w:pPr>
            <w:r>
              <w:rPr>
                <w:color w:val="auto"/>
                <w:sz w:val="24"/>
                <w:szCs w:val="24"/>
                <w:lang w:val="zh-CN"/>
              </w:rPr>
              <w:t>受本地不利气象及外部输送影响，全年共出现重度污染天气3天，均在1月份，未出现严重污染天气。重度污染天数为2013年以来最少，同比减少1天。</w:t>
            </w:r>
          </w:p>
          <w:p>
            <w:pPr>
              <w:pStyle w:val="25"/>
              <w:keepNext w:val="0"/>
              <w:keepLines w:val="0"/>
              <w:pageBreakBefore w:val="0"/>
              <w:widowControl w:val="0"/>
              <w:kinsoku/>
              <w:wordWrap/>
              <w:overflowPunct/>
              <w:topLinePunct w:val="0"/>
              <w:bidi w:val="0"/>
              <w:adjustRightInd w:val="0"/>
              <w:snapToGrid w:val="0"/>
              <w:spacing w:before="0" w:beforeAutospacing="0" w:afterAutospacing="0" w:line="360" w:lineRule="auto"/>
              <w:ind w:leftChars="0" w:firstLine="482"/>
              <w:rPr>
                <w:rFonts w:ascii="Times New Roman" w:hAnsi="Times New Roman" w:cs="Times New Roman"/>
                <w:color w:val="auto"/>
                <w:sz w:val="24"/>
                <w:szCs w:val="24"/>
              </w:rPr>
            </w:pPr>
            <w:r>
              <w:rPr>
                <w:rFonts w:ascii="Times New Roman" w:hAnsi="Times New Roman" w:cs="Times New Roman"/>
                <w:color w:val="auto"/>
                <w:sz w:val="24"/>
                <w:szCs w:val="24"/>
              </w:rPr>
              <w:t>规划目标：根据《青岛市环境空气质量达标规划》（青政字[2019]3号）主要目标：到2020年，环境空气质量细颗粒物（PM</w:t>
            </w:r>
            <w:r>
              <w:rPr>
                <w:rFonts w:ascii="Times New Roman" w:hAnsi="Times New Roman" w:cs="Times New Roman"/>
                <w:color w:val="auto"/>
                <w:sz w:val="24"/>
                <w:szCs w:val="24"/>
                <w:vertAlign w:val="subscript"/>
              </w:rPr>
              <w:t>2.5</w:t>
            </w:r>
            <w:r>
              <w:rPr>
                <w:rFonts w:ascii="Times New Roman" w:hAnsi="Times New Roman" w:cs="Times New Roman"/>
                <w:color w:val="auto"/>
                <w:sz w:val="24"/>
                <w:szCs w:val="24"/>
              </w:rPr>
              <w:t>）、可吸入颗粒物（PM</w:t>
            </w:r>
            <w:r>
              <w:rPr>
                <w:rFonts w:ascii="Times New Roman" w:hAnsi="Times New Roman" w:cs="Times New Roman"/>
                <w:color w:val="auto"/>
                <w:sz w:val="24"/>
                <w:szCs w:val="24"/>
                <w:vertAlign w:val="subscript"/>
              </w:rPr>
              <w:t>10</w:t>
            </w:r>
            <w:r>
              <w:rPr>
                <w:rFonts w:ascii="Times New Roman" w:hAnsi="Times New Roman" w:cs="Times New Roman"/>
                <w:color w:val="auto"/>
                <w:sz w:val="24"/>
                <w:szCs w:val="24"/>
              </w:rPr>
              <w:t>）年均浓度达到《环境空气质量标准》二级标准，臭氧日最大8小时平均浓度较2017年持续改善，空气质量优良率达到80.1%以上。</w:t>
            </w:r>
          </w:p>
          <w:p>
            <w:pPr>
              <w:pStyle w:val="25"/>
              <w:keepNext w:val="0"/>
              <w:keepLines w:val="0"/>
              <w:pageBreakBefore w:val="0"/>
              <w:widowControl w:val="0"/>
              <w:kinsoku/>
              <w:wordWrap/>
              <w:overflowPunct/>
              <w:topLinePunct w:val="0"/>
              <w:bidi w:val="0"/>
              <w:adjustRightInd w:val="0"/>
              <w:snapToGrid w:val="0"/>
              <w:spacing w:before="0" w:beforeAutospacing="0" w:afterAutospacing="0" w:line="360" w:lineRule="auto"/>
              <w:ind w:leftChars="0" w:firstLine="482"/>
              <w:rPr>
                <w:rFonts w:ascii="Times New Roman" w:hAnsi="Times New Roman" w:cs="Times New Roman"/>
                <w:color w:val="auto"/>
                <w:sz w:val="24"/>
                <w:szCs w:val="24"/>
              </w:rPr>
            </w:pPr>
            <w:r>
              <w:rPr>
                <w:rFonts w:ascii="Times New Roman" w:hAnsi="Times New Roman" w:cs="Times New Roman"/>
                <w:color w:val="auto"/>
                <w:sz w:val="24"/>
                <w:szCs w:val="24"/>
              </w:rPr>
              <w:t>为持续改善</w:t>
            </w:r>
            <w:r>
              <w:rPr>
                <w:rFonts w:ascii="Times New Roman" w:hAnsi="Times New Roman" w:cs="Times New Roman"/>
                <w:color w:val="auto"/>
                <w:sz w:val="24"/>
                <w:szCs w:val="24"/>
                <w:lang w:val="zh-CN"/>
              </w:rPr>
              <w:t>西海岸新区</w:t>
            </w:r>
            <w:r>
              <w:rPr>
                <w:rFonts w:ascii="Times New Roman" w:hAnsi="Times New Roman" w:cs="Times New Roman"/>
                <w:color w:val="auto"/>
                <w:sz w:val="24"/>
                <w:szCs w:val="24"/>
              </w:rPr>
              <w:t>环境空气质量，2018年11月6日</w:t>
            </w:r>
            <w:r>
              <w:rPr>
                <w:rFonts w:ascii="Times New Roman" w:hAnsi="Times New Roman" w:cs="Times New Roman"/>
                <w:color w:val="auto"/>
                <w:sz w:val="24"/>
                <w:szCs w:val="24"/>
                <w:lang w:val="zh-CN"/>
              </w:rPr>
              <w:t>西海岸新区</w:t>
            </w:r>
            <w:r>
              <w:rPr>
                <w:rFonts w:ascii="Times New Roman" w:hAnsi="Times New Roman" w:cs="Times New Roman"/>
                <w:color w:val="auto"/>
                <w:sz w:val="24"/>
                <w:szCs w:val="24"/>
              </w:rPr>
              <w:t>管委印发《青岛西海岸新区打赢蓝天保卫战作战方案暨2013-2020年大气污染防治规划三期行动计划(2018-2020年)》（青西新管发[2018]73号）。</w:t>
            </w:r>
          </w:p>
          <w:p>
            <w:pPr>
              <w:pStyle w:val="11"/>
              <w:keepNext w:val="0"/>
              <w:keepLines w:val="0"/>
              <w:pageBreakBefore w:val="0"/>
              <w:widowControl w:val="0"/>
              <w:kinsoku/>
              <w:wordWrap/>
              <w:overflowPunct/>
              <w:topLinePunct w:val="0"/>
              <w:bidi w:val="0"/>
              <w:adjustRightInd w:val="0"/>
              <w:snapToGrid w:val="0"/>
              <w:spacing w:after="0" w:afterLines="0" w:line="360" w:lineRule="auto"/>
              <w:ind w:leftChars="0" w:firstLine="480" w:firstLineChars="200"/>
              <w:rPr>
                <w:rFonts w:ascii="Times New Roman" w:hAnsi="Times New Roman"/>
                <w:color w:val="auto"/>
                <w:sz w:val="24"/>
                <w:szCs w:val="24"/>
                <w:lang w:val="en-US" w:eastAsia="zh-CN"/>
              </w:rPr>
            </w:pPr>
            <w:r>
              <w:rPr>
                <w:rFonts w:ascii="Times New Roman" w:hAnsi="Times New Roman"/>
                <w:color w:val="auto"/>
                <w:sz w:val="24"/>
                <w:szCs w:val="24"/>
                <w:lang w:val="en-US" w:eastAsia="zh-CN"/>
              </w:rPr>
              <w:t>重点任务：优化结构与布局、优化能源消费结构与布局、优化运输结构与布局、优化国土空间开发布局、强化工业污染综合防治、提高移动源污染防治水平、加强面源污染综合防治、健全大气环境管理体系。</w:t>
            </w:r>
          </w:p>
          <w:p>
            <w:pPr>
              <w:keepNext w:val="0"/>
              <w:keepLines w:val="0"/>
              <w:pageBreakBefore w:val="0"/>
              <w:widowControl w:val="0"/>
              <w:kinsoku/>
              <w:wordWrap/>
              <w:overflowPunct/>
              <w:topLinePunct w:val="0"/>
              <w:autoSpaceDE w:val="0"/>
              <w:autoSpaceDN w:val="0"/>
              <w:bidi w:val="0"/>
              <w:adjustRightInd w:val="0"/>
              <w:snapToGrid w:val="0"/>
              <w:spacing w:line="360" w:lineRule="auto"/>
              <w:ind w:leftChars="0" w:firstLine="482" w:firstLineChars="200"/>
              <w:rPr>
                <w:color w:val="auto"/>
                <w:sz w:val="24"/>
                <w:szCs w:val="24"/>
                <w:lang w:val="zh-CN"/>
              </w:rPr>
            </w:pPr>
            <w:r>
              <w:rPr>
                <w:b/>
                <w:bCs/>
                <w:color w:val="auto"/>
                <w:sz w:val="24"/>
                <w:szCs w:val="24"/>
                <w:lang w:val="zh-CN"/>
              </w:rPr>
              <w:t>声环境：</w:t>
            </w:r>
            <w:r>
              <w:rPr>
                <w:color w:val="auto"/>
                <w:sz w:val="24"/>
                <w:szCs w:val="24"/>
              </w:rPr>
              <w:t>项目所在区域声环境现状总体较好，</w:t>
            </w:r>
            <w:r>
              <w:rPr>
                <w:color w:val="auto"/>
                <w:sz w:val="24"/>
                <w:szCs w:val="24"/>
                <w:lang w:val="zh-CN"/>
              </w:rPr>
              <w:t>项目所在区域声环境符合《声环境质量标准》（GB3096</w:t>
            </w:r>
            <w:r>
              <w:rPr>
                <w:color w:val="auto"/>
                <w:sz w:val="24"/>
                <w:szCs w:val="24"/>
              </w:rPr>
              <w:t>-</w:t>
            </w:r>
            <w:r>
              <w:rPr>
                <w:color w:val="auto"/>
                <w:sz w:val="24"/>
                <w:szCs w:val="24"/>
                <w:lang w:val="zh-CN"/>
              </w:rPr>
              <w:t>2008）</w:t>
            </w:r>
            <w:r>
              <w:rPr>
                <w:rFonts w:hint="eastAsia"/>
                <w:color w:val="auto"/>
                <w:sz w:val="24"/>
                <w:szCs w:val="24"/>
                <w:lang w:val="en-US" w:eastAsia="zh-CN"/>
              </w:rPr>
              <w:t>3</w:t>
            </w:r>
            <w:r>
              <w:rPr>
                <w:color w:val="auto"/>
                <w:sz w:val="24"/>
                <w:szCs w:val="24"/>
              </w:rPr>
              <w:t>类</w:t>
            </w:r>
            <w:r>
              <w:rPr>
                <w:color w:val="auto"/>
                <w:sz w:val="24"/>
                <w:szCs w:val="24"/>
                <w:lang w:val="zh-CN"/>
              </w:rPr>
              <w:t>区标准要求。</w:t>
            </w:r>
          </w:p>
          <w:p>
            <w:pPr>
              <w:keepNext w:val="0"/>
              <w:keepLines w:val="0"/>
              <w:pageBreakBefore w:val="0"/>
              <w:widowControl w:val="0"/>
              <w:kinsoku/>
              <w:wordWrap/>
              <w:overflowPunct/>
              <w:topLinePunct w:val="0"/>
              <w:bidi w:val="0"/>
              <w:adjustRightInd w:val="0"/>
              <w:snapToGrid w:val="0"/>
              <w:spacing w:line="360" w:lineRule="auto"/>
              <w:ind w:leftChars="0" w:firstLine="482" w:firstLineChars="200"/>
              <w:rPr>
                <w:color w:val="auto"/>
                <w:sz w:val="24"/>
                <w:szCs w:val="24"/>
                <w:lang w:val="zh-CN"/>
              </w:rPr>
            </w:pPr>
            <w:r>
              <w:rPr>
                <w:b/>
                <w:bCs/>
                <w:color w:val="auto"/>
                <w:sz w:val="24"/>
                <w:szCs w:val="24"/>
                <w:lang w:val="zh-CN"/>
              </w:rPr>
              <w:t>地下水：</w:t>
            </w:r>
            <w:r>
              <w:rPr>
                <w:color w:val="auto"/>
                <w:sz w:val="24"/>
                <w:szCs w:val="24"/>
                <w:lang w:val="zh-CN"/>
              </w:rPr>
              <w:t>项目所在区域地下水符合《地下水质量标准》</w:t>
            </w:r>
            <w:r>
              <w:rPr>
                <w:color w:val="auto"/>
                <w:sz w:val="24"/>
                <w:szCs w:val="24"/>
              </w:rPr>
              <w:t>（GB/T14848</w:t>
            </w:r>
            <w:r>
              <w:rPr>
                <w:color w:val="auto"/>
                <w:sz w:val="24"/>
                <w:szCs w:val="24"/>
                <w:lang w:val="zh-CN"/>
              </w:rPr>
              <w:t>-</w:t>
            </w:r>
            <w:r>
              <w:rPr>
                <w:color w:val="auto"/>
                <w:sz w:val="24"/>
                <w:szCs w:val="24"/>
              </w:rPr>
              <w:t>2017）</w:t>
            </w:r>
            <w:r>
              <w:rPr>
                <w:color w:val="auto"/>
                <w:sz w:val="24"/>
                <w:szCs w:val="24"/>
                <w:lang w:val="zh-CN"/>
              </w:rPr>
              <w:t>中Ⅲ类标准要求。</w:t>
            </w:r>
          </w:p>
          <w:p>
            <w:pPr>
              <w:pStyle w:val="2"/>
              <w:keepNext w:val="0"/>
              <w:keepLines w:val="0"/>
              <w:pageBreakBefore w:val="0"/>
              <w:widowControl w:val="0"/>
              <w:kinsoku/>
              <w:wordWrap/>
              <w:overflowPunct/>
              <w:topLinePunct w:val="0"/>
              <w:bidi w:val="0"/>
              <w:adjustRightInd w:val="0"/>
              <w:snapToGrid w:val="0"/>
              <w:spacing w:after="0" w:afterLines="0" w:line="360" w:lineRule="auto"/>
              <w:ind w:left="0" w:leftChars="0" w:firstLine="482"/>
              <w:rPr>
                <w:rFonts w:ascii="Times New Roman" w:hAnsi="Times New Roman"/>
                <w:color w:val="auto"/>
                <w:sz w:val="24"/>
                <w:szCs w:val="24"/>
                <w:highlight w:val="none"/>
                <w:lang w:val="zh-CN" w:eastAsia="zh-CN"/>
              </w:rPr>
            </w:pPr>
            <w:r>
              <w:rPr>
                <w:rFonts w:ascii="Times New Roman" w:hAnsi="Times New Roman"/>
                <w:b/>
                <w:bCs/>
                <w:color w:val="auto"/>
                <w:sz w:val="24"/>
                <w:szCs w:val="24"/>
                <w:lang w:val="zh-CN" w:eastAsia="zh-CN"/>
              </w:rPr>
              <w:t>地表水：</w:t>
            </w:r>
            <w:r>
              <w:rPr>
                <w:rFonts w:ascii="Times New Roman" w:hAnsi="Times New Roman"/>
                <w:color w:val="auto"/>
                <w:sz w:val="24"/>
                <w:szCs w:val="24"/>
                <w:highlight w:val="none"/>
                <w:lang w:val="en-US" w:eastAsia="zh-CN"/>
              </w:rPr>
              <w:t>项目附近</w:t>
            </w:r>
            <w:r>
              <w:rPr>
                <w:rFonts w:hint="eastAsia"/>
                <w:color w:val="auto"/>
                <w:sz w:val="24"/>
                <w:szCs w:val="24"/>
                <w:highlight w:val="none"/>
                <w:lang w:val="en-US" w:eastAsia="zh-CN"/>
              </w:rPr>
              <w:t>大卢河</w:t>
            </w:r>
            <w:r>
              <w:rPr>
                <w:rFonts w:hint="eastAsia" w:ascii="Times New Roman" w:hAnsi="Times New Roman"/>
                <w:color w:val="auto"/>
                <w:sz w:val="24"/>
                <w:szCs w:val="24"/>
                <w:highlight w:val="none"/>
                <w:lang w:val="en-US" w:eastAsia="zh-CN"/>
              </w:rPr>
              <w:t>水质满足</w:t>
            </w:r>
            <w:r>
              <w:rPr>
                <w:rFonts w:ascii="Times New Roman" w:hAnsi="Times New Roman"/>
                <w:color w:val="auto"/>
                <w:sz w:val="24"/>
                <w:szCs w:val="24"/>
                <w:highlight w:val="none"/>
                <w:lang w:val="en-US" w:eastAsia="zh-CN"/>
              </w:rPr>
              <w:t>《地表水环境质量标准》（GB3838-2002）中的</w:t>
            </w:r>
            <w:r>
              <w:rPr>
                <w:rFonts w:ascii="Times New Roman" w:hAnsi="Times New Roman"/>
                <w:color w:val="auto"/>
                <w:sz w:val="24"/>
                <w:szCs w:val="24"/>
                <w:highlight w:val="none"/>
                <w:lang w:val="en-US" w:eastAsia="zh-CN"/>
              </w:rPr>
              <w:fldChar w:fldCharType="begin"/>
            </w:r>
            <w:r>
              <w:rPr>
                <w:rFonts w:ascii="Times New Roman" w:hAnsi="Times New Roman"/>
                <w:color w:val="auto"/>
                <w:sz w:val="24"/>
                <w:szCs w:val="24"/>
                <w:highlight w:val="none"/>
                <w:lang w:val="en-US" w:eastAsia="zh-CN"/>
              </w:rPr>
              <w:instrText xml:space="preserve"> = 5 \* ROMAN \* MERGEFORMAT </w:instrText>
            </w:r>
            <w:r>
              <w:rPr>
                <w:rFonts w:ascii="Times New Roman" w:hAnsi="Times New Roman"/>
                <w:color w:val="auto"/>
                <w:sz w:val="24"/>
                <w:szCs w:val="24"/>
                <w:highlight w:val="none"/>
                <w:lang w:val="en-US" w:eastAsia="zh-CN"/>
              </w:rPr>
              <w:fldChar w:fldCharType="separate"/>
            </w:r>
            <w:r>
              <w:rPr>
                <w:sz w:val="24"/>
                <w:szCs w:val="24"/>
              </w:rPr>
              <w:t>V</w:t>
            </w:r>
            <w:r>
              <w:rPr>
                <w:rFonts w:ascii="Times New Roman" w:hAnsi="Times New Roman"/>
                <w:color w:val="auto"/>
                <w:sz w:val="24"/>
                <w:szCs w:val="24"/>
                <w:highlight w:val="none"/>
                <w:lang w:val="en-US" w:eastAsia="zh-CN"/>
              </w:rPr>
              <w:fldChar w:fldCharType="end"/>
            </w:r>
            <w:r>
              <w:rPr>
                <w:rFonts w:ascii="Times New Roman" w:hAnsi="Times New Roman"/>
                <w:color w:val="auto"/>
                <w:sz w:val="24"/>
                <w:szCs w:val="24"/>
                <w:highlight w:val="none"/>
                <w:lang w:val="en-US" w:eastAsia="zh-CN"/>
              </w:rPr>
              <w:t>类标准。</w:t>
            </w:r>
          </w:p>
          <w:p>
            <w:pPr>
              <w:pStyle w:val="2"/>
              <w:snapToGrid w:val="0"/>
              <w:spacing w:after="0" w:line="360" w:lineRule="auto"/>
              <w:ind w:left="0" w:firstLine="0"/>
              <w:rPr>
                <w:rFonts w:ascii="Times New Roman" w:hAnsi="Times New Roman"/>
                <w:b/>
                <w:color w:val="auto"/>
                <w:sz w:val="24"/>
                <w:szCs w:val="24"/>
                <w:lang w:val="en-US" w:eastAsia="zh-CN"/>
              </w:rPr>
            </w:pPr>
            <w:r>
              <w:rPr>
                <w:rFonts w:ascii="Times New Roman" w:hAnsi="Times New Roman"/>
                <w:b/>
                <w:color w:val="auto"/>
                <w:sz w:val="24"/>
                <w:lang w:val="zh-CN" w:eastAsia="zh-CN"/>
              </w:rPr>
              <w:t>2、</w:t>
            </w:r>
            <w:r>
              <w:rPr>
                <w:rFonts w:ascii="Times New Roman" w:hAnsi="Times New Roman"/>
                <w:b/>
                <w:color w:val="auto"/>
                <w:sz w:val="24"/>
                <w:szCs w:val="24"/>
                <w:lang w:val="en-US" w:eastAsia="zh-CN"/>
              </w:rPr>
              <w:t>主要环境问题</w:t>
            </w:r>
          </w:p>
          <w:p>
            <w:pPr>
              <w:adjustRightInd w:val="0"/>
              <w:snapToGrid w:val="0"/>
              <w:spacing w:line="360" w:lineRule="auto"/>
              <w:ind w:firstLine="480" w:firstLineChars="200"/>
              <w:rPr>
                <w:color w:val="auto"/>
                <w:sz w:val="24"/>
                <w:lang w:val="zh-CN"/>
              </w:rPr>
            </w:pPr>
            <w:r>
              <w:rPr>
                <w:color w:val="auto"/>
                <w:sz w:val="24"/>
                <w:lang w:val="zh-CN"/>
              </w:rPr>
              <w:t>无</w:t>
            </w:r>
          </w:p>
          <w:p>
            <w:pPr>
              <w:spacing w:line="520" w:lineRule="exact"/>
              <w:ind w:firstLine="480" w:firstLineChars="200"/>
              <w:rPr>
                <w:rFonts w:hint="eastAsia" w:ascii="宋体" w:hAnsi="宋体" w:cs="宋体"/>
                <w:bCs/>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8946" w:type="dxa"/>
            <w:noWrap w:val="0"/>
            <w:vAlign w:val="top"/>
          </w:tcPr>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cs="宋体"/>
                <w:b/>
                <w:bCs/>
                <w:sz w:val="24"/>
                <w:szCs w:val="24"/>
              </w:rPr>
            </w:pPr>
            <w:r>
              <w:rPr>
                <w:rFonts w:hint="eastAsia" w:ascii="宋体" w:hAnsi="宋体" w:cs="宋体"/>
                <w:b/>
                <w:bCs/>
                <w:sz w:val="24"/>
                <w:szCs w:val="24"/>
              </w:rPr>
              <w:t>主要环境保护目标（列出名单及保护级别）</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color w:val="auto"/>
                <w:sz w:val="24"/>
              </w:rPr>
            </w:pPr>
            <w:r>
              <w:rPr>
                <w:color w:val="auto"/>
                <w:sz w:val="24"/>
              </w:rPr>
              <w:t>该</w:t>
            </w:r>
            <w:r>
              <w:rPr>
                <w:rFonts w:hint="eastAsia" w:cs="Times New Roman" w:eastAsiaTheme="minorEastAsia"/>
                <w:b w:val="0"/>
                <w:bCs/>
                <w:sz w:val="24"/>
                <w:szCs w:val="22"/>
                <w:lang w:val="en-US" w:eastAsia="zh-CN"/>
              </w:rPr>
              <w:t>项目位于</w:t>
            </w:r>
            <w:r>
              <w:rPr>
                <w:rFonts w:hint="eastAsia" w:ascii="Times New Roman" w:hAnsi="Times New Roman" w:cs="Times New Roman" w:eastAsiaTheme="minorEastAsia"/>
                <w:b w:val="0"/>
                <w:bCs/>
                <w:sz w:val="24"/>
                <w:szCs w:val="22"/>
                <w:lang w:eastAsia="zh-CN"/>
              </w:rPr>
              <w:t>青岛西海岸新区大珠山路东、隐珠山路北</w:t>
            </w:r>
            <w:r>
              <w:rPr>
                <w:rFonts w:hint="eastAsia" w:cs="Times New Roman"/>
                <w:b w:val="0"/>
                <w:bCs w:val="0"/>
                <w:sz w:val="24"/>
                <w:szCs w:val="24"/>
                <w:lang w:val="en-US" w:eastAsia="zh-CN"/>
              </w:rPr>
              <w:t>，</w:t>
            </w:r>
            <w:r>
              <w:rPr>
                <w:color w:val="auto"/>
                <w:sz w:val="24"/>
              </w:rPr>
              <w:t>项目周围环境空气保护目标主要为村庄</w:t>
            </w:r>
            <w:r>
              <w:rPr>
                <w:rFonts w:hint="eastAsia"/>
                <w:color w:val="auto"/>
                <w:sz w:val="24"/>
                <w:lang w:eastAsia="zh-CN"/>
              </w:rPr>
              <w:t>、</w:t>
            </w:r>
            <w:r>
              <w:rPr>
                <w:rFonts w:hint="eastAsia"/>
                <w:color w:val="auto"/>
                <w:sz w:val="24"/>
                <w:lang w:val="en-US" w:eastAsia="zh-CN"/>
              </w:rPr>
              <w:t>地表水体</w:t>
            </w:r>
            <w:r>
              <w:rPr>
                <w:color w:val="auto"/>
                <w:sz w:val="24"/>
              </w:rPr>
              <w:t>，项目主要环境保护目标见表</w:t>
            </w:r>
            <w:r>
              <w:rPr>
                <w:rFonts w:hint="eastAsia"/>
                <w:color w:val="auto"/>
                <w:sz w:val="24"/>
                <w:lang w:val="en-US" w:eastAsia="zh-CN"/>
              </w:rPr>
              <w:t>7</w:t>
            </w:r>
            <w:r>
              <w:rPr>
                <w:color w:val="auto"/>
                <w:sz w:val="24"/>
              </w:rPr>
              <w:t>。</w:t>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eastAsia="黑体"/>
                <w:color w:val="auto"/>
                <w:szCs w:val="21"/>
                <w:lang w:val="zh-CN"/>
              </w:rPr>
            </w:pPr>
            <w:r>
              <w:rPr>
                <w:rFonts w:eastAsia="黑体"/>
                <w:color w:val="auto"/>
                <w:szCs w:val="21"/>
                <w:lang w:val="zh-CN"/>
              </w:rPr>
              <w:t>表</w:t>
            </w:r>
            <w:r>
              <w:rPr>
                <w:rFonts w:hint="eastAsia" w:eastAsia="黑体"/>
                <w:color w:val="auto"/>
                <w:szCs w:val="21"/>
                <w:lang w:val="en-US" w:eastAsia="zh-CN"/>
              </w:rPr>
              <w:t>7</w:t>
            </w:r>
            <w:r>
              <w:rPr>
                <w:rFonts w:eastAsia="黑体"/>
                <w:color w:val="auto"/>
                <w:szCs w:val="21"/>
                <w:lang w:val="zh-CN"/>
              </w:rPr>
              <w:t xml:space="preserve"> 项目主要环境保护目标</w:t>
            </w:r>
          </w:p>
          <w:tbl>
            <w:tblPr>
              <w:tblStyle w:val="37"/>
              <w:tblW w:w="0" w:type="auto"/>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013"/>
              <w:gridCol w:w="1670"/>
              <w:gridCol w:w="709"/>
              <w:gridCol w:w="1417"/>
              <w:gridCol w:w="1063"/>
              <w:gridCol w:w="2609"/>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2" w:hRule="atLeast"/>
                <w:tblHeader/>
                <w:jc w:val="center"/>
              </w:trPr>
              <w:tc>
                <w:tcPr>
                  <w:tcW w:w="1013" w:type="dxa"/>
                  <w:noWrap w:val="0"/>
                  <w:tcMar>
                    <w:left w:w="57" w:type="dxa"/>
                    <w:right w:w="57" w:type="dxa"/>
                  </w:tcMar>
                  <w:vAlign w:val="center"/>
                </w:tcPr>
                <w:p>
                  <w:pPr>
                    <w:jc w:val="center"/>
                    <w:rPr>
                      <w:color w:val="auto"/>
                      <w:szCs w:val="21"/>
                    </w:rPr>
                  </w:pPr>
                  <w:r>
                    <w:rPr>
                      <w:color w:val="auto"/>
                      <w:szCs w:val="21"/>
                    </w:rPr>
                    <w:t>环境要素</w:t>
                  </w:r>
                </w:p>
              </w:tc>
              <w:tc>
                <w:tcPr>
                  <w:tcW w:w="1670" w:type="dxa"/>
                  <w:noWrap w:val="0"/>
                  <w:tcMar>
                    <w:left w:w="57" w:type="dxa"/>
                    <w:right w:w="57" w:type="dxa"/>
                  </w:tcMar>
                  <w:vAlign w:val="center"/>
                </w:tcPr>
                <w:p>
                  <w:pPr>
                    <w:jc w:val="center"/>
                    <w:rPr>
                      <w:color w:val="auto"/>
                      <w:szCs w:val="21"/>
                    </w:rPr>
                  </w:pPr>
                  <w:r>
                    <w:rPr>
                      <w:color w:val="auto"/>
                      <w:szCs w:val="21"/>
                    </w:rPr>
                    <w:t>敏感保护目标</w:t>
                  </w:r>
                </w:p>
              </w:tc>
              <w:tc>
                <w:tcPr>
                  <w:tcW w:w="709" w:type="dxa"/>
                  <w:noWrap w:val="0"/>
                  <w:tcMar>
                    <w:left w:w="57" w:type="dxa"/>
                    <w:right w:w="57" w:type="dxa"/>
                  </w:tcMar>
                  <w:vAlign w:val="center"/>
                </w:tcPr>
                <w:p>
                  <w:pPr>
                    <w:jc w:val="center"/>
                    <w:rPr>
                      <w:color w:val="auto"/>
                      <w:szCs w:val="21"/>
                    </w:rPr>
                  </w:pPr>
                  <w:r>
                    <w:rPr>
                      <w:color w:val="auto"/>
                      <w:szCs w:val="21"/>
                    </w:rPr>
                    <w:t>方位</w:t>
                  </w:r>
                </w:p>
              </w:tc>
              <w:tc>
                <w:tcPr>
                  <w:tcW w:w="1417" w:type="dxa"/>
                  <w:noWrap w:val="0"/>
                  <w:tcMar>
                    <w:left w:w="57" w:type="dxa"/>
                    <w:right w:w="57" w:type="dxa"/>
                  </w:tcMar>
                  <w:vAlign w:val="center"/>
                </w:tcPr>
                <w:p>
                  <w:pPr>
                    <w:widowControl/>
                    <w:jc w:val="center"/>
                    <w:rPr>
                      <w:snapToGrid w:val="0"/>
                      <w:color w:val="auto"/>
                      <w:szCs w:val="21"/>
                    </w:rPr>
                  </w:pPr>
                  <w:r>
                    <w:rPr>
                      <w:color w:val="auto"/>
                      <w:szCs w:val="21"/>
                    </w:rPr>
                    <w:t>最近距离（m）</w:t>
                  </w:r>
                </w:p>
              </w:tc>
              <w:tc>
                <w:tcPr>
                  <w:tcW w:w="1063" w:type="dxa"/>
                  <w:noWrap w:val="0"/>
                  <w:vAlign w:val="center"/>
                </w:tcPr>
                <w:p>
                  <w:pPr>
                    <w:widowControl/>
                    <w:jc w:val="center"/>
                    <w:rPr>
                      <w:color w:val="auto"/>
                      <w:szCs w:val="21"/>
                    </w:rPr>
                  </w:pPr>
                  <w:r>
                    <w:rPr>
                      <w:color w:val="auto"/>
                      <w:szCs w:val="21"/>
                    </w:rPr>
                    <w:t>规模（人）</w:t>
                  </w:r>
                </w:p>
              </w:tc>
              <w:tc>
                <w:tcPr>
                  <w:tcW w:w="2609" w:type="dxa"/>
                  <w:noWrap w:val="0"/>
                  <w:tcMar>
                    <w:left w:w="28" w:type="dxa"/>
                    <w:right w:w="28" w:type="dxa"/>
                  </w:tcMar>
                  <w:vAlign w:val="center"/>
                </w:tcPr>
                <w:p>
                  <w:pPr>
                    <w:widowControl/>
                    <w:jc w:val="center"/>
                    <w:rPr>
                      <w:color w:val="auto"/>
                      <w:szCs w:val="21"/>
                    </w:rPr>
                  </w:pPr>
                  <w:r>
                    <w:rPr>
                      <w:color w:val="auto"/>
                      <w:szCs w:val="21"/>
                    </w:rPr>
                    <w:t>环境功能</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9" w:hRule="atLeast"/>
                <w:tblHeader/>
                <w:jc w:val="center"/>
              </w:trPr>
              <w:tc>
                <w:tcPr>
                  <w:tcW w:w="1013" w:type="dxa"/>
                  <w:vMerge w:val="restart"/>
                  <w:noWrap w:val="0"/>
                  <w:tcMar>
                    <w:left w:w="57" w:type="dxa"/>
                    <w:right w:w="57" w:type="dxa"/>
                  </w:tcMar>
                  <w:vAlign w:val="center"/>
                </w:tcPr>
                <w:p>
                  <w:pPr>
                    <w:jc w:val="center"/>
                    <w:rPr>
                      <w:color w:val="auto"/>
                      <w:szCs w:val="21"/>
                    </w:rPr>
                  </w:pPr>
                  <w:r>
                    <w:rPr>
                      <w:color w:val="auto"/>
                      <w:szCs w:val="21"/>
                    </w:rPr>
                    <w:t>大气</w:t>
                  </w:r>
                </w:p>
              </w:tc>
              <w:tc>
                <w:tcPr>
                  <w:tcW w:w="1670" w:type="dxa"/>
                  <w:noWrap w:val="0"/>
                  <w:tcMar>
                    <w:left w:w="57" w:type="dxa"/>
                    <w:right w:w="57" w:type="dxa"/>
                  </w:tcMar>
                  <w:vAlign w:val="center"/>
                </w:tcPr>
                <w:p>
                  <w:pPr>
                    <w:autoSpaceDE w:val="0"/>
                    <w:autoSpaceDN w:val="0"/>
                    <w:jc w:val="center"/>
                    <w:rPr>
                      <w:snapToGrid w:val="0"/>
                      <w:color w:val="auto"/>
                      <w:szCs w:val="21"/>
                    </w:rPr>
                  </w:pPr>
                  <w:r>
                    <w:rPr>
                      <w:rFonts w:hint="eastAsia" w:ascii="Times New Roman" w:hAnsi="Times New Roman"/>
                      <w:color w:val="auto"/>
                      <w:sz w:val="24"/>
                      <w:lang w:val="en-US" w:eastAsia="zh-CN"/>
                    </w:rPr>
                    <w:t>天一畔成小区</w:t>
                  </w:r>
                </w:p>
              </w:tc>
              <w:tc>
                <w:tcPr>
                  <w:tcW w:w="709" w:type="dxa"/>
                  <w:noWrap w:val="0"/>
                  <w:tcMar>
                    <w:left w:w="57" w:type="dxa"/>
                    <w:right w:w="57" w:type="dxa"/>
                  </w:tcMar>
                  <w:vAlign w:val="center"/>
                </w:tcPr>
                <w:p>
                  <w:pPr>
                    <w:autoSpaceDE w:val="0"/>
                    <w:autoSpaceDN w:val="0"/>
                    <w:jc w:val="center"/>
                    <w:rPr>
                      <w:snapToGrid w:val="0"/>
                      <w:color w:val="auto"/>
                      <w:szCs w:val="21"/>
                    </w:rPr>
                  </w:pPr>
                  <w:r>
                    <w:rPr>
                      <w:rFonts w:hint="eastAsia"/>
                      <w:snapToGrid w:val="0"/>
                      <w:color w:val="auto"/>
                      <w:szCs w:val="21"/>
                      <w:lang w:val="en-US" w:eastAsia="zh-CN"/>
                    </w:rPr>
                    <w:t>S</w:t>
                  </w:r>
                  <w:r>
                    <w:rPr>
                      <w:snapToGrid w:val="0"/>
                      <w:color w:val="auto"/>
                      <w:szCs w:val="21"/>
                    </w:rPr>
                    <w:t>E</w:t>
                  </w:r>
                </w:p>
              </w:tc>
              <w:tc>
                <w:tcPr>
                  <w:tcW w:w="1417" w:type="dxa"/>
                  <w:noWrap w:val="0"/>
                  <w:tcMar>
                    <w:left w:w="57" w:type="dxa"/>
                    <w:right w:w="57" w:type="dxa"/>
                  </w:tcMar>
                  <w:vAlign w:val="center"/>
                </w:tcPr>
                <w:p>
                  <w:pPr>
                    <w:autoSpaceDE w:val="0"/>
                    <w:autoSpaceDN w:val="0"/>
                    <w:jc w:val="center"/>
                    <w:rPr>
                      <w:rFonts w:hint="default" w:eastAsia="宋体"/>
                      <w:snapToGrid w:val="0"/>
                      <w:color w:val="auto"/>
                      <w:szCs w:val="21"/>
                      <w:lang w:val="en-US" w:eastAsia="zh-CN"/>
                    </w:rPr>
                  </w:pPr>
                  <w:r>
                    <w:rPr>
                      <w:rFonts w:hint="eastAsia"/>
                      <w:snapToGrid w:val="0"/>
                      <w:color w:val="auto"/>
                      <w:szCs w:val="21"/>
                      <w:lang w:val="en-US" w:eastAsia="zh-CN"/>
                    </w:rPr>
                    <w:t>840</w:t>
                  </w:r>
                  <w:r>
                    <w:rPr>
                      <w:rFonts w:hint="eastAsia"/>
                      <w:color w:val="000000" w:themeColor="text1"/>
                      <w:sz w:val="24"/>
                      <w:lang w:val="en-US" w:eastAsia="zh-CN"/>
                      <w14:textFill>
                        <w14:solidFill>
                          <w14:schemeClr w14:val="tx1"/>
                        </w14:solidFill>
                      </w14:textFill>
                    </w:rPr>
                    <w:t>m</w:t>
                  </w:r>
                </w:p>
              </w:tc>
              <w:tc>
                <w:tcPr>
                  <w:tcW w:w="1063" w:type="dxa"/>
                  <w:noWrap w:val="0"/>
                  <w:vAlign w:val="center"/>
                </w:tcPr>
                <w:p>
                  <w:pPr>
                    <w:jc w:val="center"/>
                    <w:rPr>
                      <w:rFonts w:hint="default" w:eastAsia="宋体"/>
                      <w:color w:val="auto"/>
                      <w:lang w:val="en-US" w:eastAsia="zh-CN"/>
                    </w:rPr>
                  </w:pPr>
                  <w:r>
                    <w:rPr>
                      <w:rFonts w:hint="eastAsia"/>
                      <w:color w:val="auto"/>
                      <w:lang w:val="en-US" w:eastAsia="zh-CN"/>
                    </w:rPr>
                    <w:t>3600</w:t>
                  </w:r>
                </w:p>
              </w:tc>
              <w:tc>
                <w:tcPr>
                  <w:tcW w:w="2609" w:type="dxa"/>
                  <w:vMerge w:val="restart"/>
                  <w:noWrap w:val="0"/>
                  <w:tcMar>
                    <w:left w:w="28" w:type="dxa"/>
                    <w:right w:w="28" w:type="dxa"/>
                  </w:tcMar>
                  <w:vAlign w:val="center"/>
                </w:tcPr>
                <w:p>
                  <w:pPr>
                    <w:autoSpaceDE w:val="0"/>
                    <w:autoSpaceDN w:val="0"/>
                    <w:rPr>
                      <w:color w:val="auto"/>
                      <w:szCs w:val="21"/>
                    </w:rPr>
                  </w:pPr>
                  <w:r>
                    <w:rPr>
                      <w:color w:val="auto"/>
                      <w:szCs w:val="21"/>
                    </w:rPr>
                    <w:t>《环境空气质量标准》（GB3095-2012）二级标准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58" w:hRule="atLeast"/>
                <w:tblHeader/>
                <w:jc w:val="center"/>
              </w:trPr>
              <w:tc>
                <w:tcPr>
                  <w:tcW w:w="1013" w:type="dxa"/>
                  <w:vMerge w:val="continue"/>
                  <w:noWrap w:val="0"/>
                  <w:tcMar>
                    <w:left w:w="57" w:type="dxa"/>
                    <w:right w:w="57" w:type="dxa"/>
                  </w:tcMar>
                  <w:vAlign w:val="center"/>
                </w:tcPr>
                <w:p>
                  <w:pPr>
                    <w:jc w:val="center"/>
                    <w:rPr>
                      <w:color w:val="auto"/>
                      <w:szCs w:val="21"/>
                    </w:rPr>
                  </w:pPr>
                </w:p>
              </w:tc>
              <w:tc>
                <w:tcPr>
                  <w:tcW w:w="1670" w:type="dxa"/>
                  <w:noWrap w:val="0"/>
                  <w:tcMar>
                    <w:left w:w="57" w:type="dxa"/>
                    <w:right w:w="57" w:type="dxa"/>
                  </w:tcMar>
                  <w:vAlign w:val="center"/>
                </w:tcPr>
                <w:p>
                  <w:pPr>
                    <w:autoSpaceDE w:val="0"/>
                    <w:autoSpaceDN w:val="0"/>
                    <w:jc w:val="center"/>
                    <w:rPr>
                      <w:rFonts w:hint="eastAsia" w:eastAsia="宋体"/>
                      <w:snapToGrid w:val="0"/>
                      <w:color w:val="auto"/>
                      <w:szCs w:val="21"/>
                      <w:lang w:eastAsia="zh-CN"/>
                    </w:rPr>
                  </w:pPr>
                  <w:r>
                    <w:rPr>
                      <w:rFonts w:hint="eastAsia"/>
                      <w:color w:val="auto"/>
                      <w:sz w:val="24"/>
                      <w:lang w:val="en-US" w:eastAsia="zh-CN"/>
                    </w:rPr>
                    <w:t>象沟头村</w:t>
                  </w:r>
                </w:p>
              </w:tc>
              <w:tc>
                <w:tcPr>
                  <w:tcW w:w="709" w:type="dxa"/>
                  <w:noWrap w:val="0"/>
                  <w:tcMar>
                    <w:left w:w="57" w:type="dxa"/>
                    <w:right w:w="57" w:type="dxa"/>
                  </w:tcMar>
                  <w:vAlign w:val="center"/>
                </w:tcPr>
                <w:p>
                  <w:pPr>
                    <w:autoSpaceDE w:val="0"/>
                    <w:autoSpaceDN w:val="0"/>
                    <w:jc w:val="center"/>
                    <w:rPr>
                      <w:rFonts w:hint="eastAsia" w:eastAsia="宋体"/>
                      <w:snapToGrid w:val="0"/>
                      <w:color w:val="auto"/>
                      <w:szCs w:val="21"/>
                      <w:lang w:eastAsia="zh-CN"/>
                    </w:rPr>
                  </w:pPr>
                  <w:r>
                    <w:rPr>
                      <w:rFonts w:hint="eastAsia"/>
                      <w:snapToGrid w:val="0"/>
                      <w:color w:val="auto"/>
                      <w:szCs w:val="21"/>
                      <w:lang w:val="en-US" w:eastAsia="zh-CN"/>
                    </w:rPr>
                    <w:t>E</w:t>
                  </w:r>
                </w:p>
              </w:tc>
              <w:tc>
                <w:tcPr>
                  <w:tcW w:w="1417" w:type="dxa"/>
                  <w:noWrap w:val="0"/>
                  <w:tcMar>
                    <w:left w:w="57" w:type="dxa"/>
                    <w:right w:w="57" w:type="dxa"/>
                  </w:tcMar>
                  <w:vAlign w:val="center"/>
                </w:tcPr>
                <w:p>
                  <w:pPr>
                    <w:autoSpaceDE w:val="0"/>
                    <w:autoSpaceDN w:val="0"/>
                    <w:jc w:val="center"/>
                    <w:rPr>
                      <w:rFonts w:hint="default" w:eastAsia="宋体"/>
                      <w:snapToGrid w:val="0"/>
                      <w:color w:val="000000" w:themeColor="text1"/>
                      <w:szCs w:val="21"/>
                      <w:lang w:val="en-US" w:eastAsia="zh-CN"/>
                      <w14:textFill>
                        <w14:solidFill>
                          <w14:schemeClr w14:val="tx1"/>
                        </w14:solidFill>
                      </w14:textFill>
                    </w:rPr>
                  </w:pPr>
                  <w:r>
                    <w:rPr>
                      <w:rFonts w:hint="eastAsia"/>
                      <w:color w:val="000000" w:themeColor="text1"/>
                      <w:sz w:val="24"/>
                      <w:lang w:val="en-US" w:eastAsia="zh-CN"/>
                      <w14:textFill>
                        <w14:solidFill>
                          <w14:schemeClr w14:val="tx1"/>
                        </w14:solidFill>
                      </w14:textFill>
                    </w:rPr>
                    <w:t>850m</w:t>
                  </w:r>
                </w:p>
              </w:tc>
              <w:tc>
                <w:tcPr>
                  <w:tcW w:w="1063" w:type="dxa"/>
                  <w:noWrap w:val="0"/>
                  <w:vAlign w:val="center"/>
                </w:tcPr>
                <w:p>
                  <w:pPr>
                    <w:widowControl/>
                    <w:jc w:val="center"/>
                    <w:rPr>
                      <w:color w:val="000000" w:themeColor="text1"/>
                      <w:szCs w:val="21"/>
                      <w:shd w:val="clear" w:color="auto" w:fill="FFFFFF"/>
                      <w14:textFill>
                        <w14:solidFill>
                          <w14:schemeClr w14:val="tx1"/>
                        </w14:solidFill>
                      </w14:textFill>
                    </w:rPr>
                  </w:pPr>
                  <w:r>
                    <w:rPr>
                      <w:color w:val="000000" w:themeColor="text1"/>
                      <w:sz w:val="21"/>
                      <w:szCs w:val="21"/>
                      <w:shd w:val="clear" w:color="auto" w:fill="FFFFFF"/>
                      <w14:textFill>
                        <w14:solidFill>
                          <w14:schemeClr w14:val="tx1"/>
                        </w14:solidFill>
                      </w14:textFill>
                    </w:rPr>
                    <w:t>772</w:t>
                  </w:r>
                </w:p>
              </w:tc>
              <w:tc>
                <w:tcPr>
                  <w:tcW w:w="2609" w:type="dxa"/>
                  <w:vMerge w:val="continue"/>
                  <w:noWrap w:val="0"/>
                  <w:tcMar>
                    <w:left w:w="28" w:type="dxa"/>
                    <w:right w:w="28" w:type="dxa"/>
                  </w:tcMar>
                  <w:vAlign w:val="center"/>
                </w:tcPr>
                <w:p>
                  <w:pPr>
                    <w:autoSpaceDE w:val="0"/>
                    <w:autoSpaceDN w:val="0"/>
                    <w:rPr>
                      <w:color w:val="auto"/>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58" w:hRule="atLeast"/>
                <w:tblHeader/>
                <w:jc w:val="center"/>
              </w:trPr>
              <w:tc>
                <w:tcPr>
                  <w:tcW w:w="1013" w:type="dxa"/>
                  <w:vMerge w:val="continue"/>
                  <w:noWrap w:val="0"/>
                  <w:tcMar>
                    <w:left w:w="57" w:type="dxa"/>
                    <w:right w:w="57" w:type="dxa"/>
                  </w:tcMar>
                  <w:vAlign w:val="center"/>
                </w:tcPr>
                <w:p>
                  <w:pPr>
                    <w:jc w:val="center"/>
                    <w:rPr>
                      <w:color w:val="auto"/>
                      <w:szCs w:val="21"/>
                    </w:rPr>
                  </w:pPr>
                </w:p>
              </w:tc>
              <w:tc>
                <w:tcPr>
                  <w:tcW w:w="1670" w:type="dxa"/>
                  <w:noWrap w:val="0"/>
                  <w:tcMar>
                    <w:left w:w="57" w:type="dxa"/>
                    <w:right w:w="57" w:type="dxa"/>
                  </w:tcMar>
                  <w:vAlign w:val="center"/>
                </w:tcPr>
                <w:p>
                  <w:pPr>
                    <w:autoSpaceDE w:val="0"/>
                    <w:autoSpaceDN w:val="0"/>
                    <w:jc w:val="center"/>
                    <w:rPr>
                      <w:rFonts w:hint="eastAsia"/>
                      <w:color w:val="auto"/>
                      <w:sz w:val="24"/>
                      <w:lang w:val="en-US" w:eastAsia="zh-CN"/>
                    </w:rPr>
                  </w:pPr>
                  <w:r>
                    <w:rPr>
                      <w:rFonts w:hint="eastAsia"/>
                      <w:color w:val="auto"/>
                      <w:sz w:val="24"/>
                      <w:lang w:val="en-US" w:eastAsia="zh-CN"/>
                    </w:rPr>
                    <w:t>东新村</w:t>
                  </w:r>
                </w:p>
              </w:tc>
              <w:tc>
                <w:tcPr>
                  <w:tcW w:w="709" w:type="dxa"/>
                  <w:noWrap w:val="0"/>
                  <w:tcMar>
                    <w:left w:w="57" w:type="dxa"/>
                    <w:right w:w="57" w:type="dxa"/>
                  </w:tcMar>
                  <w:vAlign w:val="center"/>
                </w:tcPr>
                <w:p>
                  <w:pPr>
                    <w:autoSpaceDE w:val="0"/>
                    <w:autoSpaceDN w:val="0"/>
                    <w:jc w:val="center"/>
                    <w:rPr>
                      <w:rFonts w:hint="default"/>
                      <w:snapToGrid w:val="0"/>
                      <w:color w:val="auto"/>
                      <w:szCs w:val="21"/>
                      <w:lang w:val="en-US" w:eastAsia="zh-CN"/>
                    </w:rPr>
                  </w:pPr>
                  <w:r>
                    <w:rPr>
                      <w:rFonts w:hint="eastAsia"/>
                      <w:snapToGrid w:val="0"/>
                      <w:color w:val="auto"/>
                      <w:szCs w:val="21"/>
                      <w:lang w:val="en-US" w:eastAsia="zh-CN"/>
                    </w:rPr>
                    <w:t>SW</w:t>
                  </w:r>
                </w:p>
              </w:tc>
              <w:tc>
                <w:tcPr>
                  <w:tcW w:w="1417" w:type="dxa"/>
                  <w:noWrap w:val="0"/>
                  <w:tcMar>
                    <w:left w:w="57" w:type="dxa"/>
                    <w:right w:w="57" w:type="dxa"/>
                  </w:tcMar>
                  <w:vAlign w:val="center"/>
                </w:tcPr>
                <w:p>
                  <w:pPr>
                    <w:autoSpaceDE w:val="0"/>
                    <w:autoSpaceDN w:val="0"/>
                    <w:jc w:val="center"/>
                    <w:rPr>
                      <w:rFonts w:hint="eastAsia"/>
                      <w:color w:val="auto"/>
                      <w:sz w:val="24"/>
                      <w:lang w:val="en-US" w:eastAsia="zh-CN"/>
                    </w:rPr>
                  </w:pPr>
                  <w:r>
                    <w:rPr>
                      <w:rFonts w:hint="eastAsia"/>
                      <w:color w:val="auto"/>
                      <w:sz w:val="24"/>
                      <w:lang w:val="en-US" w:eastAsia="zh-CN"/>
                    </w:rPr>
                    <w:t>960m</w:t>
                  </w:r>
                </w:p>
              </w:tc>
              <w:tc>
                <w:tcPr>
                  <w:tcW w:w="1063" w:type="dxa"/>
                  <w:noWrap w:val="0"/>
                  <w:vAlign w:val="center"/>
                </w:tcPr>
                <w:p>
                  <w:pPr>
                    <w:widowControl/>
                    <w:jc w:val="center"/>
                    <w:rPr>
                      <w:rFonts w:hint="default" w:eastAsia="宋体"/>
                      <w:color w:val="auto"/>
                      <w:szCs w:val="21"/>
                      <w:shd w:val="clear" w:color="auto" w:fill="FFFFFF"/>
                      <w:lang w:val="en-US" w:eastAsia="zh-CN"/>
                    </w:rPr>
                  </w:pPr>
                  <w:r>
                    <w:rPr>
                      <w:rFonts w:hint="eastAsia"/>
                      <w:color w:val="auto"/>
                      <w:szCs w:val="21"/>
                      <w:shd w:val="clear" w:color="auto" w:fill="FFFFFF"/>
                      <w:lang w:val="en-US" w:eastAsia="zh-CN"/>
                    </w:rPr>
                    <w:t>760</w:t>
                  </w:r>
                </w:p>
              </w:tc>
              <w:tc>
                <w:tcPr>
                  <w:tcW w:w="2609" w:type="dxa"/>
                  <w:vMerge w:val="continue"/>
                  <w:noWrap w:val="0"/>
                  <w:tcMar>
                    <w:left w:w="28" w:type="dxa"/>
                    <w:right w:w="28" w:type="dxa"/>
                  </w:tcMar>
                  <w:vAlign w:val="center"/>
                </w:tcPr>
                <w:p>
                  <w:pPr>
                    <w:autoSpaceDE w:val="0"/>
                    <w:autoSpaceDN w:val="0"/>
                    <w:rPr>
                      <w:color w:val="auto"/>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58" w:hRule="atLeast"/>
                <w:tblHeader/>
                <w:jc w:val="center"/>
              </w:trPr>
              <w:tc>
                <w:tcPr>
                  <w:tcW w:w="1013" w:type="dxa"/>
                  <w:vMerge w:val="continue"/>
                  <w:noWrap w:val="0"/>
                  <w:tcMar>
                    <w:left w:w="57" w:type="dxa"/>
                    <w:right w:w="57" w:type="dxa"/>
                  </w:tcMar>
                  <w:vAlign w:val="center"/>
                </w:tcPr>
                <w:p>
                  <w:pPr>
                    <w:jc w:val="center"/>
                    <w:rPr>
                      <w:color w:val="auto"/>
                      <w:szCs w:val="21"/>
                    </w:rPr>
                  </w:pPr>
                </w:p>
              </w:tc>
              <w:tc>
                <w:tcPr>
                  <w:tcW w:w="1670" w:type="dxa"/>
                  <w:noWrap w:val="0"/>
                  <w:tcMar>
                    <w:left w:w="57" w:type="dxa"/>
                    <w:right w:w="57" w:type="dxa"/>
                  </w:tcMar>
                  <w:vAlign w:val="center"/>
                </w:tcPr>
                <w:p>
                  <w:pPr>
                    <w:autoSpaceDE w:val="0"/>
                    <w:autoSpaceDN w:val="0"/>
                    <w:jc w:val="center"/>
                    <w:rPr>
                      <w:rFonts w:hint="default"/>
                      <w:color w:val="auto"/>
                      <w:sz w:val="24"/>
                      <w:lang w:val="en-US" w:eastAsia="zh-CN"/>
                    </w:rPr>
                  </w:pPr>
                  <w:r>
                    <w:rPr>
                      <w:rFonts w:hint="eastAsia"/>
                      <w:color w:val="auto"/>
                      <w:sz w:val="24"/>
                      <w:lang w:val="en-US" w:eastAsia="zh-CN"/>
                    </w:rPr>
                    <w:t>杨家村</w:t>
                  </w:r>
                </w:p>
              </w:tc>
              <w:tc>
                <w:tcPr>
                  <w:tcW w:w="709" w:type="dxa"/>
                  <w:noWrap w:val="0"/>
                  <w:tcMar>
                    <w:left w:w="57" w:type="dxa"/>
                    <w:right w:w="57" w:type="dxa"/>
                  </w:tcMar>
                  <w:vAlign w:val="center"/>
                </w:tcPr>
                <w:p>
                  <w:pPr>
                    <w:autoSpaceDE w:val="0"/>
                    <w:autoSpaceDN w:val="0"/>
                    <w:jc w:val="center"/>
                    <w:rPr>
                      <w:rFonts w:hint="default"/>
                      <w:snapToGrid w:val="0"/>
                      <w:color w:val="auto"/>
                      <w:szCs w:val="21"/>
                      <w:lang w:val="en-US" w:eastAsia="zh-CN"/>
                    </w:rPr>
                  </w:pPr>
                  <w:r>
                    <w:rPr>
                      <w:rFonts w:hint="eastAsia"/>
                      <w:snapToGrid w:val="0"/>
                      <w:color w:val="auto"/>
                      <w:szCs w:val="21"/>
                      <w:lang w:val="en-US" w:eastAsia="zh-CN"/>
                    </w:rPr>
                    <w:t>SE</w:t>
                  </w:r>
                </w:p>
              </w:tc>
              <w:tc>
                <w:tcPr>
                  <w:tcW w:w="1417" w:type="dxa"/>
                  <w:noWrap w:val="0"/>
                  <w:tcMar>
                    <w:left w:w="57" w:type="dxa"/>
                    <w:right w:w="57" w:type="dxa"/>
                  </w:tcMar>
                  <w:vAlign w:val="center"/>
                </w:tcPr>
                <w:p>
                  <w:pPr>
                    <w:autoSpaceDE w:val="0"/>
                    <w:autoSpaceDN w:val="0"/>
                    <w:jc w:val="center"/>
                    <w:rPr>
                      <w:rFonts w:hint="default"/>
                      <w:color w:val="auto"/>
                      <w:sz w:val="24"/>
                      <w:lang w:val="en-US" w:eastAsia="zh-CN"/>
                    </w:rPr>
                  </w:pPr>
                  <w:r>
                    <w:rPr>
                      <w:rFonts w:hint="eastAsia"/>
                      <w:color w:val="auto"/>
                      <w:sz w:val="24"/>
                      <w:lang w:val="en-US" w:eastAsia="zh-CN"/>
                    </w:rPr>
                    <w:t>970m</w:t>
                  </w:r>
                </w:p>
              </w:tc>
              <w:tc>
                <w:tcPr>
                  <w:tcW w:w="1063" w:type="dxa"/>
                  <w:noWrap w:val="0"/>
                  <w:vAlign w:val="center"/>
                </w:tcPr>
                <w:p>
                  <w:pPr>
                    <w:widowControl/>
                    <w:jc w:val="center"/>
                    <w:rPr>
                      <w:rFonts w:hint="eastAsia"/>
                      <w:color w:val="auto"/>
                      <w:szCs w:val="21"/>
                      <w:shd w:val="clear" w:color="auto" w:fill="FFFFFF"/>
                      <w:lang w:val="en-US" w:eastAsia="zh-CN"/>
                    </w:rPr>
                  </w:pPr>
                  <w:r>
                    <w:rPr>
                      <w:sz w:val="21"/>
                      <w:szCs w:val="21"/>
                    </w:rPr>
                    <w:t>548</w:t>
                  </w:r>
                </w:p>
              </w:tc>
              <w:tc>
                <w:tcPr>
                  <w:tcW w:w="2609" w:type="dxa"/>
                  <w:vMerge w:val="continue"/>
                  <w:noWrap w:val="0"/>
                  <w:tcMar>
                    <w:left w:w="28" w:type="dxa"/>
                    <w:right w:w="28" w:type="dxa"/>
                  </w:tcMar>
                  <w:vAlign w:val="center"/>
                </w:tcPr>
                <w:p>
                  <w:pPr>
                    <w:autoSpaceDE w:val="0"/>
                    <w:autoSpaceDN w:val="0"/>
                    <w:rPr>
                      <w:color w:val="auto"/>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58" w:hRule="atLeast"/>
                <w:tblHeader/>
                <w:jc w:val="center"/>
              </w:trPr>
              <w:tc>
                <w:tcPr>
                  <w:tcW w:w="1013" w:type="dxa"/>
                  <w:vMerge w:val="continue"/>
                  <w:noWrap w:val="0"/>
                  <w:tcMar>
                    <w:left w:w="57" w:type="dxa"/>
                    <w:right w:w="57" w:type="dxa"/>
                  </w:tcMar>
                  <w:vAlign w:val="center"/>
                </w:tcPr>
                <w:p>
                  <w:pPr>
                    <w:jc w:val="center"/>
                    <w:rPr>
                      <w:color w:val="auto"/>
                      <w:szCs w:val="21"/>
                    </w:rPr>
                  </w:pPr>
                </w:p>
              </w:tc>
              <w:tc>
                <w:tcPr>
                  <w:tcW w:w="1670" w:type="dxa"/>
                  <w:noWrap w:val="0"/>
                  <w:tcMar>
                    <w:left w:w="57" w:type="dxa"/>
                    <w:right w:w="57" w:type="dxa"/>
                  </w:tcMar>
                  <w:vAlign w:val="center"/>
                </w:tcPr>
                <w:p>
                  <w:pPr>
                    <w:autoSpaceDE w:val="0"/>
                    <w:autoSpaceDN w:val="0"/>
                    <w:jc w:val="center"/>
                    <w:rPr>
                      <w:rFonts w:hint="eastAsia"/>
                      <w:color w:val="auto"/>
                      <w:sz w:val="24"/>
                      <w:lang w:val="en-US" w:eastAsia="zh-CN"/>
                    </w:rPr>
                  </w:pPr>
                  <w:r>
                    <w:rPr>
                      <w:rFonts w:hint="eastAsia"/>
                      <w:color w:val="auto"/>
                      <w:sz w:val="24"/>
                      <w:lang w:val="en-US" w:eastAsia="zh-CN"/>
                    </w:rPr>
                    <w:t>尹家大庄村</w:t>
                  </w:r>
                </w:p>
              </w:tc>
              <w:tc>
                <w:tcPr>
                  <w:tcW w:w="709" w:type="dxa"/>
                  <w:noWrap w:val="0"/>
                  <w:tcMar>
                    <w:left w:w="57" w:type="dxa"/>
                    <w:right w:w="57" w:type="dxa"/>
                  </w:tcMar>
                  <w:vAlign w:val="center"/>
                </w:tcPr>
                <w:p>
                  <w:pPr>
                    <w:autoSpaceDE w:val="0"/>
                    <w:autoSpaceDN w:val="0"/>
                    <w:jc w:val="center"/>
                    <w:rPr>
                      <w:rFonts w:hint="default"/>
                      <w:snapToGrid w:val="0"/>
                      <w:color w:val="auto"/>
                      <w:szCs w:val="21"/>
                      <w:lang w:val="en-US" w:eastAsia="zh-CN"/>
                    </w:rPr>
                  </w:pPr>
                  <w:r>
                    <w:rPr>
                      <w:rFonts w:hint="eastAsia"/>
                      <w:snapToGrid w:val="0"/>
                      <w:color w:val="auto"/>
                      <w:szCs w:val="21"/>
                      <w:lang w:val="en-US" w:eastAsia="zh-CN"/>
                    </w:rPr>
                    <w:t>N</w:t>
                  </w:r>
                </w:p>
              </w:tc>
              <w:tc>
                <w:tcPr>
                  <w:tcW w:w="1417" w:type="dxa"/>
                  <w:noWrap w:val="0"/>
                  <w:tcMar>
                    <w:left w:w="57" w:type="dxa"/>
                    <w:right w:w="57" w:type="dxa"/>
                  </w:tcMar>
                  <w:vAlign w:val="center"/>
                </w:tcPr>
                <w:p>
                  <w:pPr>
                    <w:autoSpaceDE w:val="0"/>
                    <w:autoSpaceDN w:val="0"/>
                    <w:jc w:val="center"/>
                    <w:rPr>
                      <w:rFonts w:hint="default"/>
                      <w:color w:val="auto"/>
                      <w:sz w:val="24"/>
                      <w:lang w:val="en-US" w:eastAsia="zh-CN"/>
                    </w:rPr>
                  </w:pPr>
                  <w:r>
                    <w:rPr>
                      <w:rFonts w:hint="eastAsia"/>
                      <w:color w:val="auto"/>
                      <w:sz w:val="24"/>
                      <w:lang w:val="en-US" w:eastAsia="zh-CN"/>
                    </w:rPr>
                    <w:t>1000m</w:t>
                  </w:r>
                </w:p>
              </w:tc>
              <w:tc>
                <w:tcPr>
                  <w:tcW w:w="1063" w:type="dxa"/>
                  <w:noWrap w:val="0"/>
                  <w:vAlign w:val="center"/>
                </w:tcPr>
                <w:p>
                  <w:pPr>
                    <w:widowControl/>
                    <w:jc w:val="center"/>
                    <w:rPr>
                      <w:color w:val="auto"/>
                      <w:szCs w:val="21"/>
                      <w:shd w:val="clear" w:color="auto" w:fill="FFFFFF"/>
                    </w:rPr>
                  </w:pPr>
                  <w:r>
                    <w:rPr>
                      <w:rFonts w:hint="eastAsia"/>
                      <w:color w:val="auto"/>
                      <w:szCs w:val="21"/>
                      <w:shd w:val="clear" w:color="auto" w:fill="FFFFFF"/>
                      <w:lang w:val="en-US" w:eastAsia="zh-CN"/>
                    </w:rPr>
                    <w:t>965</w:t>
                  </w:r>
                </w:p>
              </w:tc>
              <w:tc>
                <w:tcPr>
                  <w:tcW w:w="2609" w:type="dxa"/>
                  <w:vMerge w:val="continue"/>
                  <w:noWrap w:val="0"/>
                  <w:tcMar>
                    <w:left w:w="28" w:type="dxa"/>
                    <w:right w:w="28" w:type="dxa"/>
                  </w:tcMar>
                  <w:vAlign w:val="center"/>
                </w:tcPr>
                <w:p>
                  <w:pPr>
                    <w:autoSpaceDE w:val="0"/>
                    <w:autoSpaceDN w:val="0"/>
                    <w:rPr>
                      <w:color w:val="auto"/>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11" w:hRule="atLeast"/>
                <w:tblHeader/>
                <w:jc w:val="center"/>
              </w:trPr>
              <w:tc>
                <w:tcPr>
                  <w:tcW w:w="1013" w:type="dxa"/>
                  <w:noWrap w:val="0"/>
                  <w:tcMar>
                    <w:left w:w="57" w:type="dxa"/>
                    <w:right w:w="57" w:type="dxa"/>
                  </w:tcMar>
                  <w:vAlign w:val="center"/>
                </w:tcPr>
                <w:p>
                  <w:pPr>
                    <w:jc w:val="center"/>
                    <w:rPr>
                      <w:color w:val="auto"/>
                      <w:szCs w:val="21"/>
                    </w:rPr>
                  </w:pPr>
                  <w:r>
                    <w:rPr>
                      <w:color w:val="auto"/>
                      <w:szCs w:val="21"/>
                    </w:rPr>
                    <w:t>地表水</w:t>
                  </w:r>
                </w:p>
              </w:tc>
              <w:tc>
                <w:tcPr>
                  <w:tcW w:w="1670" w:type="dxa"/>
                  <w:noWrap w:val="0"/>
                  <w:tcMar>
                    <w:left w:w="28" w:type="dxa"/>
                    <w:right w:w="28" w:type="dxa"/>
                  </w:tcMar>
                  <w:vAlign w:val="center"/>
                </w:tcPr>
                <w:p>
                  <w:pPr>
                    <w:autoSpaceDE w:val="0"/>
                    <w:autoSpaceDN w:val="0"/>
                    <w:jc w:val="center"/>
                    <w:rPr>
                      <w:rFonts w:hint="eastAsia" w:eastAsia="宋体"/>
                      <w:color w:val="auto"/>
                      <w:szCs w:val="21"/>
                      <w:lang w:val="en-US" w:eastAsia="zh-CN"/>
                    </w:rPr>
                  </w:pPr>
                  <w:r>
                    <w:rPr>
                      <w:rFonts w:hint="eastAsia"/>
                      <w:color w:val="auto"/>
                      <w:szCs w:val="21"/>
                      <w:lang w:val="en-US" w:eastAsia="zh-CN"/>
                    </w:rPr>
                    <w:t>大卢河</w:t>
                  </w:r>
                </w:p>
              </w:tc>
              <w:tc>
                <w:tcPr>
                  <w:tcW w:w="709" w:type="dxa"/>
                  <w:noWrap w:val="0"/>
                  <w:vAlign w:val="center"/>
                </w:tcPr>
                <w:p>
                  <w:pPr>
                    <w:autoSpaceDE w:val="0"/>
                    <w:autoSpaceDN w:val="0"/>
                    <w:jc w:val="center"/>
                    <w:rPr>
                      <w:rFonts w:hint="eastAsia" w:eastAsia="宋体"/>
                      <w:color w:val="auto"/>
                      <w:szCs w:val="21"/>
                      <w:lang w:eastAsia="zh-CN"/>
                    </w:rPr>
                  </w:pPr>
                  <w:r>
                    <w:rPr>
                      <w:rFonts w:hint="eastAsia"/>
                      <w:color w:val="auto"/>
                      <w:szCs w:val="21"/>
                      <w:highlight w:val="none"/>
                      <w:lang w:val="en-US" w:eastAsia="zh-CN"/>
                    </w:rPr>
                    <w:t>E</w:t>
                  </w:r>
                </w:p>
              </w:tc>
              <w:tc>
                <w:tcPr>
                  <w:tcW w:w="1417" w:type="dxa"/>
                  <w:noWrap w:val="0"/>
                  <w:vAlign w:val="center"/>
                </w:tcPr>
                <w:p>
                  <w:pPr>
                    <w:autoSpaceDE w:val="0"/>
                    <w:autoSpaceDN w:val="0"/>
                    <w:jc w:val="center"/>
                    <w:rPr>
                      <w:rFonts w:hint="default" w:eastAsia="宋体"/>
                      <w:color w:val="auto"/>
                      <w:szCs w:val="21"/>
                      <w:lang w:val="en-US" w:eastAsia="zh-CN"/>
                    </w:rPr>
                  </w:pPr>
                  <w:r>
                    <w:rPr>
                      <w:rFonts w:hint="eastAsia"/>
                      <w:color w:val="auto"/>
                      <w:szCs w:val="21"/>
                      <w:lang w:val="en-US" w:eastAsia="zh-CN"/>
                    </w:rPr>
                    <w:t>780</w:t>
                  </w:r>
                </w:p>
              </w:tc>
              <w:tc>
                <w:tcPr>
                  <w:tcW w:w="1063" w:type="dxa"/>
                  <w:noWrap w:val="0"/>
                  <w:vAlign w:val="center"/>
                </w:tcPr>
                <w:p>
                  <w:pPr>
                    <w:autoSpaceDE w:val="0"/>
                    <w:autoSpaceDN w:val="0"/>
                    <w:jc w:val="center"/>
                    <w:rPr>
                      <w:color w:val="auto"/>
                      <w:szCs w:val="21"/>
                    </w:rPr>
                  </w:pPr>
                  <w:r>
                    <w:rPr>
                      <w:color w:val="auto"/>
                      <w:szCs w:val="21"/>
                    </w:rPr>
                    <w:t>/</w:t>
                  </w:r>
                </w:p>
              </w:tc>
              <w:tc>
                <w:tcPr>
                  <w:tcW w:w="2609" w:type="dxa"/>
                  <w:noWrap w:val="0"/>
                  <w:vAlign w:val="center"/>
                </w:tcPr>
                <w:p>
                  <w:pPr>
                    <w:autoSpaceDE w:val="0"/>
                    <w:autoSpaceDN w:val="0"/>
                    <w:rPr>
                      <w:color w:val="auto"/>
                      <w:szCs w:val="21"/>
                    </w:rPr>
                  </w:pPr>
                  <w:r>
                    <w:rPr>
                      <w:color w:val="auto"/>
                      <w:szCs w:val="21"/>
                    </w:rPr>
                    <w:t>《地表水环境质量标准》（GB3838-2002）</w:t>
                  </w:r>
                  <w:r>
                    <w:rPr>
                      <w:rFonts w:ascii="Times New Roman" w:hAnsi="Times New Roman"/>
                      <w:color w:val="auto"/>
                      <w:sz w:val="24"/>
                      <w:szCs w:val="24"/>
                      <w:highlight w:val="none"/>
                      <w:lang w:val="en-US" w:eastAsia="zh-CN"/>
                    </w:rPr>
                    <w:fldChar w:fldCharType="begin"/>
                  </w:r>
                  <w:r>
                    <w:rPr>
                      <w:rFonts w:ascii="Times New Roman" w:hAnsi="Times New Roman"/>
                      <w:color w:val="auto"/>
                      <w:sz w:val="24"/>
                      <w:szCs w:val="24"/>
                      <w:highlight w:val="none"/>
                      <w:lang w:val="en-US" w:eastAsia="zh-CN"/>
                    </w:rPr>
                    <w:instrText xml:space="preserve"> = 5 \* ROMAN \* MERGEFORMAT </w:instrText>
                  </w:r>
                  <w:r>
                    <w:rPr>
                      <w:rFonts w:ascii="Times New Roman" w:hAnsi="Times New Roman"/>
                      <w:color w:val="auto"/>
                      <w:sz w:val="24"/>
                      <w:szCs w:val="24"/>
                      <w:highlight w:val="none"/>
                      <w:lang w:val="en-US" w:eastAsia="zh-CN"/>
                    </w:rPr>
                    <w:fldChar w:fldCharType="separate"/>
                  </w:r>
                  <w:r>
                    <w:rPr>
                      <w:sz w:val="24"/>
                      <w:szCs w:val="24"/>
                    </w:rPr>
                    <w:t>V</w:t>
                  </w:r>
                  <w:r>
                    <w:rPr>
                      <w:rFonts w:ascii="Times New Roman" w:hAnsi="Times New Roman"/>
                      <w:color w:val="auto"/>
                      <w:sz w:val="24"/>
                      <w:szCs w:val="24"/>
                      <w:highlight w:val="none"/>
                      <w:lang w:val="en-US" w:eastAsia="zh-CN"/>
                    </w:rPr>
                    <w:fldChar w:fldCharType="end"/>
                  </w:r>
                  <w:r>
                    <w:rPr>
                      <w:color w:val="auto"/>
                      <w:szCs w:val="21"/>
                    </w:rPr>
                    <w:t>类标准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2" w:hRule="atLeast"/>
                <w:tblHeader/>
                <w:jc w:val="center"/>
              </w:trPr>
              <w:tc>
                <w:tcPr>
                  <w:tcW w:w="1013" w:type="dxa"/>
                  <w:noWrap w:val="0"/>
                  <w:tcMar>
                    <w:left w:w="57" w:type="dxa"/>
                    <w:right w:w="57" w:type="dxa"/>
                  </w:tcMar>
                  <w:vAlign w:val="center"/>
                </w:tcPr>
                <w:p>
                  <w:pPr>
                    <w:widowControl/>
                    <w:jc w:val="center"/>
                    <w:rPr>
                      <w:color w:val="auto"/>
                      <w:szCs w:val="21"/>
                    </w:rPr>
                  </w:pPr>
                  <w:r>
                    <w:rPr>
                      <w:color w:val="auto"/>
                      <w:szCs w:val="21"/>
                    </w:rPr>
                    <w:t>地下水</w:t>
                  </w:r>
                </w:p>
              </w:tc>
              <w:tc>
                <w:tcPr>
                  <w:tcW w:w="1670" w:type="dxa"/>
                  <w:noWrap w:val="0"/>
                  <w:tcMar>
                    <w:left w:w="28" w:type="dxa"/>
                    <w:right w:w="28" w:type="dxa"/>
                  </w:tcMar>
                  <w:vAlign w:val="center"/>
                </w:tcPr>
                <w:p>
                  <w:pPr>
                    <w:autoSpaceDE w:val="0"/>
                    <w:autoSpaceDN w:val="0"/>
                    <w:jc w:val="center"/>
                    <w:rPr>
                      <w:color w:val="auto"/>
                      <w:szCs w:val="21"/>
                    </w:rPr>
                  </w:pPr>
                  <w:r>
                    <w:rPr>
                      <w:color w:val="auto"/>
                      <w:szCs w:val="21"/>
                    </w:rPr>
                    <w:t>项目附近</w:t>
                  </w:r>
                </w:p>
              </w:tc>
              <w:tc>
                <w:tcPr>
                  <w:tcW w:w="709" w:type="dxa"/>
                  <w:noWrap w:val="0"/>
                  <w:vAlign w:val="center"/>
                </w:tcPr>
                <w:p>
                  <w:pPr>
                    <w:autoSpaceDE w:val="0"/>
                    <w:autoSpaceDN w:val="0"/>
                    <w:jc w:val="center"/>
                    <w:rPr>
                      <w:color w:val="auto"/>
                      <w:szCs w:val="21"/>
                    </w:rPr>
                  </w:pPr>
                  <w:r>
                    <w:rPr>
                      <w:color w:val="auto"/>
                      <w:szCs w:val="21"/>
                    </w:rPr>
                    <w:t>/</w:t>
                  </w:r>
                </w:p>
              </w:tc>
              <w:tc>
                <w:tcPr>
                  <w:tcW w:w="1417" w:type="dxa"/>
                  <w:noWrap w:val="0"/>
                  <w:vAlign w:val="center"/>
                </w:tcPr>
                <w:p>
                  <w:pPr>
                    <w:autoSpaceDE w:val="0"/>
                    <w:autoSpaceDN w:val="0"/>
                    <w:jc w:val="center"/>
                    <w:rPr>
                      <w:color w:val="auto"/>
                      <w:szCs w:val="21"/>
                    </w:rPr>
                  </w:pPr>
                  <w:r>
                    <w:rPr>
                      <w:color w:val="auto"/>
                      <w:szCs w:val="21"/>
                    </w:rPr>
                    <w:t>/</w:t>
                  </w:r>
                </w:p>
              </w:tc>
              <w:tc>
                <w:tcPr>
                  <w:tcW w:w="1063" w:type="dxa"/>
                  <w:noWrap w:val="0"/>
                  <w:vAlign w:val="center"/>
                </w:tcPr>
                <w:p>
                  <w:pPr>
                    <w:autoSpaceDE w:val="0"/>
                    <w:autoSpaceDN w:val="0"/>
                    <w:jc w:val="center"/>
                    <w:rPr>
                      <w:color w:val="auto"/>
                      <w:szCs w:val="21"/>
                    </w:rPr>
                  </w:pPr>
                  <w:r>
                    <w:rPr>
                      <w:color w:val="auto"/>
                      <w:szCs w:val="21"/>
                    </w:rPr>
                    <w:t>/</w:t>
                  </w:r>
                </w:p>
              </w:tc>
              <w:tc>
                <w:tcPr>
                  <w:tcW w:w="2609" w:type="dxa"/>
                  <w:noWrap w:val="0"/>
                  <w:vAlign w:val="center"/>
                </w:tcPr>
                <w:p>
                  <w:pPr>
                    <w:autoSpaceDE w:val="0"/>
                    <w:autoSpaceDN w:val="0"/>
                    <w:rPr>
                      <w:color w:val="auto"/>
                      <w:szCs w:val="21"/>
                    </w:rPr>
                  </w:pPr>
                  <w:r>
                    <w:rPr>
                      <w:color w:val="auto"/>
                      <w:szCs w:val="21"/>
                    </w:rPr>
                    <w:t>《地下水质量标准》（GB/T14848-2017）Ⅲ类</w:t>
                  </w:r>
                </w:p>
              </w:tc>
            </w:tr>
          </w:tbl>
          <w:p>
            <w:pPr>
              <w:tabs>
                <w:tab w:val="left" w:pos="5669"/>
              </w:tabs>
              <w:spacing w:line="440" w:lineRule="exact"/>
              <w:ind w:left="115" w:leftChars="55" w:firstLine="360" w:firstLineChars="150"/>
              <w:rPr>
                <w:color w:val="auto"/>
                <w:sz w:val="24"/>
              </w:rPr>
            </w:pPr>
            <w:r>
              <w:rPr>
                <w:color w:val="auto"/>
                <w:sz w:val="24"/>
              </w:rPr>
              <w:t>目前厂区周围环境质量状况良好。因此，本次评价的环境控制目标是：将本项目建设对周围大气环境、声环境的影响程度降至最低水平，污水排入市政污水管网，不因本项目的建设而使周围大气环境、声环境质量有所下降。</w:t>
            </w:r>
          </w:p>
          <w:p>
            <w:pPr>
              <w:pStyle w:val="2"/>
              <w:rPr>
                <w:color w:val="auto"/>
                <w:sz w:val="24"/>
              </w:rPr>
            </w:pPr>
          </w:p>
          <w:p>
            <w:pPr>
              <w:pStyle w:val="2"/>
              <w:ind w:left="0" w:leftChars="0" w:firstLine="0" w:firstLineChars="0"/>
              <w:rPr>
                <w:color w:val="auto"/>
                <w:sz w:val="24"/>
              </w:rPr>
            </w:pPr>
          </w:p>
          <w:p>
            <w:pPr>
              <w:pStyle w:val="2"/>
            </w:pPr>
          </w:p>
          <w:p>
            <w:pPr>
              <w:spacing w:line="520" w:lineRule="exact"/>
              <w:ind w:firstLine="480" w:firstLineChars="200"/>
              <w:rPr>
                <w:rFonts w:hint="eastAsia" w:ascii="宋体" w:hAnsi="宋体" w:cs="宋体"/>
                <w:bCs/>
                <w:sz w:val="24"/>
                <w:szCs w:val="24"/>
              </w:rPr>
            </w:pPr>
          </w:p>
        </w:tc>
      </w:tr>
    </w:tbl>
    <w:p>
      <w:pPr>
        <w:spacing w:line="360" w:lineRule="auto"/>
        <w:outlineLvl w:val="0"/>
        <w:rPr>
          <w:rFonts w:hint="eastAsia" w:ascii="黑体" w:hAnsi="宋体" w:eastAsia="黑体"/>
          <w:b w:val="0"/>
          <w:bCs w:val="0"/>
          <w:sz w:val="28"/>
          <w:szCs w:val="28"/>
        </w:rPr>
      </w:pPr>
      <w:bookmarkStart w:id="5" w:name="_Toc523785283"/>
      <w:r>
        <w:rPr>
          <w:rFonts w:hint="eastAsia" w:ascii="黑体" w:hAnsi="宋体" w:eastAsia="黑体"/>
          <w:b w:val="0"/>
          <w:bCs w:val="0"/>
          <w:sz w:val="28"/>
          <w:szCs w:val="28"/>
        </w:rPr>
        <w:t>评价适用标准</w:t>
      </w:r>
      <w:bookmarkEnd w:id="5"/>
    </w:p>
    <w:tbl>
      <w:tblPr>
        <w:tblStyle w:val="37"/>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17"/>
        <w:gridCol w:w="840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817" w:type="dxa"/>
            <w:noWrap w:val="0"/>
            <w:vAlign w:val="center"/>
          </w:tcPr>
          <w:p>
            <w:pPr>
              <w:spacing w:line="360" w:lineRule="exact"/>
              <w:jc w:val="center"/>
              <w:rPr>
                <w:rFonts w:hint="eastAsia" w:ascii="宋体" w:hAnsi="宋体" w:cs="宋体"/>
                <w:sz w:val="24"/>
                <w:szCs w:val="24"/>
              </w:rPr>
            </w:pPr>
            <w:r>
              <w:rPr>
                <w:rFonts w:hint="eastAsia" w:ascii="宋体" w:hAnsi="宋体" w:cs="宋体"/>
                <w:sz w:val="24"/>
                <w:szCs w:val="24"/>
              </w:rPr>
              <w:t>环</w:t>
            </w:r>
          </w:p>
          <w:p>
            <w:pPr>
              <w:spacing w:line="360" w:lineRule="exact"/>
              <w:jc w:val="center"/>
              <w:rPr>
                <w:rFonts w:hint="eastAsia" w:ascii="宋体" w:hAnsi="宋体" w:cs="宋体"/>
                <w:sz w:val="24"/>
                <w:szCs w:val="24"/>
              </w:rPr>
            </w:pPr>
            <w:r>
              <w:rPr>
                <w:rFonts w:hint="eastAsia" w:ascii="宋体" w:hAnsi="宋体" w:cs="宋体"/>
                <w:sz w:val="24"/>
                <w:szCs w:val="24"/>
              </w:rPr>
              <w:t>境</w:t>
            </w:r>
          </w:p>
          <w:p>
            <w:pPr>
              <w:spacing w:line="360" w:lineRule="exact"/>
              <w:jc w:val="center"/>
              <w:rPr>
                <w:rFonts w:hint="eastAsia" w:ascii="宋体" w:hAnsi="宋体" w:cs="宋体"/>
                <w:sz w:val="24"/>
                <w:szCs w:val="24"/>
              </w:rPr>
            </w:pPr>
            <w:r>
              <w:rPr>
                <w:rFonts w:hint="eastAsia" w:ascii="宋体" w:hAnsi="宋体" w:cs="宋体"/>
                <w:sz w:val="24"/>
                <w:szCs w:val="24"/>
              </w:rPr>
              <w:t>质</w:t>
            </w:r>
          </w:p>
          <w:p>
            <w:pPr>
              <w:spacing w:line="360" w:lineRule="exact"/>
              <w:jc w:val="center"/>
              <w:rPr>
                <w:rFonts w:hint="eastAsia" w:ascii="宋体" w:hAnsi="宋体" w:cs="宋体"/>
                <w:sz w:val="24"/>
                <w:szCs w:val="24"/>
              </w:rPr>
            </w:pPr>
            <w:r>
              <w:rPr>
                <w:rFonts w:hint="eastAsia" w:ascii="宋体" w:hAnsi="宋体" w:cs="宋体"/>
                <w:sz w:val="24"/>
                <w:szCs w:val="24"/>
              </w:rPr>
              <w:t>量</w:t>
            </w:r>
          </w:p>
          <w:p>
            <w:pPr>
              <w:spacing w:line="360" w:lineRule="exact"/>
              <w:jc w:val="center"/>
              <w:rPr>
                <w:rFonts w:hint="eastAsia" w:ascii="宋体" w:hAnsi="宋体" w:cs="宋体"/>
                <w:sz w:val="24"/>
                <w:szCs w:val="24"/>
              </w:rPr>
            </w:pPr>
            <w:r>
              <w:rPr>
                <w:rFonts w:hint="eastAsia" w:ascii="宋体" w:hAnsi="宋体" w:cs="宋体"/>
                <w:sz w:val="24"/>
                <w:szCs w:val="24"/>
              </w:rPr>
              <w:t>标</w:t>
            </w:r>
          </w:p>
          <w:p>
            <w:pPr>
              <w:spacing w:line="360" w:lineRule="exact"/>
              <w:jc w:val="center"/>
              <w:rPr>
                <w:rFonts w:hint="eastAsia" w:ascii="宋体" w:hAnsi="宋体" w:cs="宋体"/>
                <w:sz w:val="24"/>
                <w:szCs w:val="24"/>
              </w:rPr>
            </w:pPr>
            <w:r>
              <w:rPr>
                <w:rFonts w:hint="eastAsia" w:ascii="宋体" w:hAnsi="宋体" w:cs="宋体"/>
                <w:sz w:val="24"/>
                <w:szCs w:val="24"/>
              </w:rPr>
              <w:t>准</w:t>
            </w:r>
          </w:p>
        </w:tc>
        <w:tc>
          <w:tcPr>
            <w:tcW w:w="8404" w:type="dxa"/>
            <w:noWrap w:val="0"/>
            <w:vAlign w:val="center"/>
          </w:tcPr>
          <w:p>
            <w:pPr>
              <w:spacing w:line="440" w:lineRule="exact"/>
              <w:rPr>
                <w:color w:val="auto"/>
                <w:sz w:val="24"/>
                <w:szCs w:val="24"/>
              </w:rPr>
            </w:pPr>
            <w:r>
              <w:rPr>
                <w:color w:val="auto"/>
                <w:sz w:val="24"/>
                <w:szCs w:val="24"/>
              </w:rPr>
              <w:t>1、大气环境执行《环境空气质量标准》（GB3095-2012）中的二级标准；</w:t>
            </w:r>
          </w:p>
          <w:p>
            <w:pPr>
              <w:spacing w:line="440" w:lineRule="exact"/>
              <w:rPr>
                <w:color w:val="auto"/>
                <w:sz w:val="24"/>
                <w:szCs w:val="24"/>
              </w:rPr>
            </w:pPr>
            <w:r>
              <w:rPr>
                <w:color w:val="auto"/>
                <w:sz w:val="24"/>
                <w:szCs w:val="24"/>
              </w:rPr>
              <w:t>2、区域声环境质量执行《声环境质量标准》（GB3096-2008）中的</w:t>
            </w:r>
            <w:r>
              <w:rPr>
                <w:rFonts w:hint="eastAsia"/>
                <w:color w:val="auto"/>
                <w:sz w:val="24"/>
                <w:szCs w:val="24"/>
                <w:lang w:val="en-US" w:eastAsia="zh-CN"/>
              </w:rPr>
              <w:t>3</w:t>
            </w:r>
            <w:r>
              <w:rPr>
                <w:color w:val="auto"/>
                <w:sz w:val="24"/>
                <w:szCs w:val="24"/>
              </w:rPr>
              <w:t>类区标准；</w:t>
            </w:r>
          </w:p>
          <w:p>
            <w:pPr>
              <w:spacing w:line="440" w:lineRule="exact"/>
              <w:rPr>
                <w:color w:val="auto"/>
                <w:sz w:val="24"/>
                <w:szCs w:val="24"/>
              </w:rPr>
            </w:pPr>
            <w:r>
              <w:rPr>
                <w:color w:val="auto"/>
                <w:sz w:val="24"/>
                <w:szCs w:val="24"/>
              </w:rPr>
              <w:t>3、</w:t>
            </w:r>
            <w:r>
              <w:rPr>
                <w:rFonts w:hint="eastAsia"/>
                <w:color w:val="auto"/>
                <w:sz w:val="24"/>
                <w:szCs w:val="24"/>
                <w:lang w:val="en-US" w:eastAsia="zh-CN"/>
              </w:rPr>
              <w:t>大卢河水质</w:t>
            </w:r>
            <w:r>
              <w:rPr>
                <w:color w:val="auto"/>
                <w:sz w:val="24"/>
                <w:szCs w:val="24"/>
              </w:rPr>
              <w:t>执行《地表水环境质量标准》（GB3838-2002）中的</w:t>
            </w:r>
            <w:r>
              <w:rPr>
                <w:rFonts w:ascii="Times New Roman" w:hAnsi="Times New Roman"/>
                <w:color w:val="auto"/>
                <w:sz w:val="24"/>
                <w:szCs w:val="24"/>
                <w:highlight w:val="none"/>
                <w:lang w:val="en-US" w:eastAsia="zh-CN"/>
              </w:rPr>
              <w:fldChar w:fldCharType="begin"/>
            </w:r>
            <w:r>
              <w:rPr>
                <w:rFonts w:ascii="Times New Roman" w:hAnsi="Times New Roman"/>
                <w:color w:val="auto"/>
                <w:sz w:val="24"/>
                <w:szCs w:val="24"/>
                <w:highlight w:val="none"/>
                <w:lang w:val="en-US" w:eastAsia="zh-CN"/>
              </w:rPr>
              <w:instrText xml:space="preserve"> = 5 \* ROMAN \* MERGEFORMAT </w:instrText>
            </w:r>
            <w:r>
              <w:rPr>
                <w:rFonts w:ascii="Times New Roman" w:hAnsi="Times New Roman"/>
                <w:color w:val="auto"/>
                <w:sz w:val="24"/>
                <w:szCs w:val="24"/>
                <w:highlight w:val="none"/>
                <w:lang w:val="en-US" w:eastAsia="zh-CN"/>
              </w:rPr>
              <w:fldChar w:fldCharType="separate"/>
            </w:r>
            <w:r>
              <w:rPr>
                <w:sz w:val="24"/>
                <w:szCs w:val="24"/>
              </w:rPr>
              <w:t>V</w:t>
            </w:r>
            <w:r>
              <w:rPr>
                <w:rFonts w:ascii="Times New Roman" w:hAnsi="Times New Roman"/>
                <w:color w:val="auto"/>
                <w:sz w:val="24"/>
                <w:szCs w:val="24"/>
                <w:highlight w:val="none"/>
                <w:lang w:val="en-US" w:eastAsia="zh-CN"/>
              </w:rPr>
              <w:fldChar w:fldCharType="end"/>
            </w:r>
            <w:r>
              <w:rPr>
                <w:color w:val="auto"/>
                <w:sz w:val="24"/>
                <w:szCs w:val="24"/>
              </w:rPr>
              <w:t>类标准；</w:t>
            </w:r>
          </w:p>
          <w:p>
            <w:pPr>
              <w:spacing w:line="440" w:lineRule="exact"/>
              <w:rPr>
                <w:spacing w:val="6"/>
                <w:sz w:val="24"/>
              </w:rPr>
            </w:pPr>
            <w:r>
              <w:rPr>
                <w:color w:val="auto"/>
                <w:sz w:val="24"/>
                <w:szCs w:val="24"/>
              </w:rPr>
              <w:t>4、地下水执行《地下水质量标准》（GB/T14848-2017）中的Ⅲ类标准。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76" w:hRule="atLeast"/>
          <w:jc w:val="center"/>
        </w:trPr>
        <w:tc>
          <w:tcPr>
            <w:tcW w:w="817" w:type="dxa"/>
            <w:noWrap w:val="0"/>
            <w:vAlign w:val="center"/>
          </w:tcPr>
          <w:p>
            <w:pPr>
              <w:spacing w:line="360" w:lineRule="exact"/>
              <w:jc w:val="center"/>
              <w:rPr>
                <w:rFonts w:hint="eastAsia" w:ascii="宋体" w:hAnsi="宋体" w:cs="宋体"/>
                <w:sz w:val="24"/>
                <w:szCs w:val="24"/>
              </w:rPr>
            </w:pPr>
            <w:r>
              <w:rPr>
                <w:rFonts w:hint="eastAsia" w:ascii="宋体" w:hAnsi="宋体" w:cs="宋体"/>
                <w:sz w:val="24"/>
                <w:szCs w:val="24"/>
              </w:rPr>
              <w:t>污</w:t>
            </w:r>
          </w:p>
          <w:p>
            <w:pPr>
              <w:spacing w:line="360" w:lineRule="exact"/>
              <w:jc w:val="center"/>
              <w:rPr>
                <w:rFonts w:hint="eastAsia" w:ascii="宋体" w:hAnsi="宋体" w:cs="宋体"/>
                <w:sz w:val="24"/>
                <w:szCs w:val="24"/>
              </w:rPr>
            </w:pPr>
            <w:r>
              <w:rPr>
                <w:rFonts w:hint="eastAsia" w:ascii="宋体" w:hAnsi="宋体" w:cs="宋体"/>
                <w:sz w:val="24"/>
                <w:szCs w:val="24"/>
              </w:rPr>
              <w:t>染</w:t>
            </w:r>
          </w:p>
          <w:p>
            <w:pPr>
              <w:spacing w:line="360" w:lineRule="exact"/>
              <w:jc w:val="center"/>
              <w:rPr>
                <w:rFonts w:hint="eastAsia" w:ascii="宋体" w:hAnsi="宋体" w:cs="宋体"/>
                <w:sz w:val="24"/>
                <w:szCs w:val="24"/>
              </w:rPr>
            </w:pPr>
            <w:r>
              <w:rPr>
                <w:rFonts w:hint="eastAsia" w:ascii="宋体" w:hAnsi="宋体" w:cs="宋体"/>
                <w:sz w:val="24"/>
                <w:szCs w:val="24"/>
              </w:rPr>
              <w:t>物</w:t>
            </w:r>
          </w:p>
          <w:p>
            <w:pPr>
              <w:spacing w:line="360" w:lineRule="exact"/>
              <w:jc w:val="center"/>
              <w:rPr>
                <w:rFonts w:hint="eastAsia" w:ascii="宋体" w:hAnsi="宋体" w:cs="宋体"/>
                <w:sz w:val="24"/>
                <w:szCs w:val="24"/>
              </w:rPr>
            </w:pPr>
            <w:r>
              <w:rPr>
                <w:rFonts w:hint="eastAsia" w:ascii="宋体" w:hAnsi="宋体" w:cs="宋体"/>
                <w:sz w:val="24"/>
                <w:szCs w:val="24"/>
              </w:rPr>
              <w:t>排</w:t>
            </w:r>
          </w:p>
          <w:p>
            <w:pPr>
              <w:spacing w:line="360" w:lineRule="exact"/>
              <w:jc w:val="center"/>
              <w:rPr>
                <w:rFonts w:hint="eastAsia" w:ascii="宋体" w:hAnsi="宋体" w:cs="宋体"/>
                <w:sz w:val="24"/>
                <w:szCs w:val="24"/>
              </w:rPr>
            </w:pPr>
            <w:r>
              <w:rPr>
                <w:rFonts w:hint="eastAsia" w:ascii="宋体" w:hAnsi="宋体" w:cs="宋体"/>
                <w:sz w:val="24"/>
                <w:szCs w:val="24"/>
              </w:rPr>
              <w:t>放</w:t>
            </w:r>
          </w:p>
          <w:p>
            <w:pPr>
              <w:spacing w:line="360" w:lineRule="exact"/>
              <w:jc w:val="center"/>
              <w:rPr>
                <w:rFonts w:hint="eastAsia" w:ascii="宋体" w:hAnsi="宋体" w:cs="宋体"/>
                <w:sz w:val="24"/>
                <w:szCs w:val="24"/>
              </w:rPr>
            </w:pPr>
            <w:r>
              <w:rPr>
                <w:rFonts w:hint="eastAsia" w:ascii="宋体" w:hAnsi="宋体" w:cs="宋体"/>
                <w:sz w:val="24"/>
                <w:szCs w:val="24"/>
              </w:rPr>
              <w:t>标</w:t>
            </w:r>
          </w:p>
          <w:p>
            <w:pPr>
              <w:spacing w:line="360" w:lineRule="exact"/>
              <w:jc w:val="center"/>
              <w:rPr>
                <w:rFonts w:hint="eastAsia" w:ascii="宋体" w:hAnsi="宋体" w:cs="宋体"/>
                <w:szCs w:val="21"/>
              </w:rPr>
            </w:pPr>
            <w:r>
              <w:rPr>
                <w:rFonts w:hint="eastAsia" w:ascii="宋体" w:hAnsi="宋体" w:cs="宋体"/>
                <w:sz w:val="24"/>
                <w:szCs w:val="24"/>
              </w:rPr>
              <w:t>准</w:t>
            </w:r>
          </w:p>
        </w:tc>
        <w:tc>
          <w:tcPr>
            <w:tcW w:w="8404" w:type="dxa"/>
            <w:noWrap w:val="0"/>
            <w:vAlign w:val="center"/>
          </w:tcPr>
          <w:p>
            <w:pPr>
              <w:keepNext w:val="0"/>
              <w:keepLines w:val="0"/>
              <w:pageBreakBefore w:val="0"/>
              <w:widowControl w:val="0"/>
              <w:numPr>
                <w:ilvl w:val="0"/>
                <w:numId w:val="4"/>
              </w:numPr>
              <w:kinsoku/>
              <w:wordWrap/>
              <w:overflowPunct/>
              <w:topLinePunct w:val="0"/>
              <w:autoSpaceDE/>
              <w:autoSpaceDN/>
              <w:bidi w:val="0"/>
              <w:adjustRightInd w:val="0"/>
              <w:snapToGrid w:val="0"/>
              <w:spacing w:line="360" w:lineRule="auto"/>
              <w:textAlignment w:val="auto"/>
              <w:rPr>
                <w:rFonts w:hint="eastAsia"/>
                <w:b/>
                <w:sz w:val="24"/>
                <w:lang w:val="en-US" w:eastAsia="zh-CN"/>
              </w:rPr>
            </w:pPr>
            <w:r>
              <w:rPr>
                <w:rFonts w:hint="eastAsia"/>
                <w:b/>
                <w:sz w:val="24"/>
                <w:lang w:val="en-US" w:eastAsia="zh-CN"/>
              </w:rPr>
              <w:t>废水</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color w:val="auto"/>
                <w:sz w:val="24"/>
              </w:rPr>
            </w:pPr>
            <w:r>
              <w:rPr>
                <w:rFonts w:hint="eastAsia"/>
                <w:color w:val="auto"/>
                <w:sz w:val="24"/>
                <w:lang w:val="en-US" w:eastAsia="zh-CN"/>
              </w:rPr>
              <w:t>项目废水排放执</w:t>
            </w:r>
            <w:r>
              <w:rPr>
                <w:rFonts w:hint="eastAsia"/>
                <w:color w:val="auto"/>
                <w:sz w:val="24"/>
                <w:szCs w:val="22"/>
                <w:lang w:val="en-US" w:eastAsia="zh-CN"/>
              </w:rPr>
              <w:t>行《污水排入城市下水道水质标准》（GB/T 31962-2015 ）表1中B级标准要求</w:t>
            </w:r>
            <w:r>
              <w:rPr>
                <w:color w:val="auto"/>
                <w:sz w:val="24"/>
              </w:rPr>
              <w:t>。</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eastAsia="宋体"/>
                <w:b/>
                <w:bCs/>
                <w:color w:val="auto"/>
                <w:sz w:val="24"/>
                <w:lang w:val="en-US" w:eastAsia="zh-CN"/>
              </w:rPr>
            </w:pPr>
            <w:r>
              <w:rPr>
                <w:b/>
                <w:bCs/>
                <w:color w:val="auto"/>
                <w:sz w:val="24"/>
              </w:rPr>
              <w:t>2、</w:t>
            </w:r>
            <w:r>
              <w:rPr>
                <w:rFonts w:hint="eastAsia"/>
                <w:b/>
                <w:bCs/>
                <w:color w:val="auto"/>
                <w:sz w:val="24"/>
                <w:lang w:val="en-US" w:eastAsia="zh-CN"/>
              </w:rPr>
              <w:t>废气</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color w:val="auto"/>
                <w:sz w:val="24"/>
                <w:szCs w:val="22"/>
                <w:lang w:val="en-US" w:eastAsia="zh-CN"/>
              </w:rPr>
            </w:pPr>
            <w:r>
              <w:rPr>
                <w:rFonts w:hint="eastAsia"/>
                <w:color w:val="auto"/>
                <w:sz w:val="24"/>
                <w:lang w:val="en-US" w:eastAsia="zh-CN"/>
              </w:rPr>
              <w:t>项目车间异味气体及污水处理站恶臭气体排</w:t>
            </w:r>
            <w:r>
              <w:rPr>
                <w:rFonts w:hint="eastAsia"/>
                <w:color w:val="auto"/>
                <w:sz w:val="24"/>
                <w:szCs w:val="22"/>
                <w:lang w:val="en-US" w:eastAsia="zh-CN"/>
              </w:rPr>
              <w:t>放执行《恶臭污染物排放标准》（GB14554-93）表1二级标准要求。</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b/>
                <w:bCs/>
                <w:color w:val="auto"/>
                <w:sz w:val="24"/>
                <w:lang w:val="en-US" w:eastAsia="zh-CN"/>
              </w:rPr>
            </w:pPr>
            <w:r>
              <w:rPr>
                <w:rFonts w:hint="eastAsia"/>
                <w:b/>
                <w:bCs/>
                <w:color w:val="auto"/>
                <w:sz w:val="24"/>
                <w:lang w:val="en-US" w:eastAsia="zh-CN"/>
              </w:rPr>
              <w:t>3、噪声</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color w:val="auto"/>
                <w:sz w:val="24"/>
              </w:rPr>
            </w:pPr>
            <w:r>
              <w:rPr>
                <w:rFonts w:hint="eastAsia"/>
                <w:color w:val="auto"/>
                <w:sz w:val="24"/>
                <w:lang w:val="en-US" w:eastAsia="zh-CN"/>
              </w:rPr>
              <w:t>厂界</w:t>
            </w:r>
            <w:r>
              <w:rPr>
                <w:color w:val="auto"/>
                <w:sz w:val="24"/>
              </w:rPr>
              <w:t>噪声排放执行《工业企业厂界环境噪声排放标准》（GB12348-2008）中的</w:t>
            </w:r>
            <w:r>
              <w:rPr>
                <w:rFonts w:hint="eastAsia"/>
                <w:color w:val="auto"/>
                <w:sz w:val="24"/>
                <w:lang w:val="en-US" w:eastAsia="zh-CN"/>
              </w:rPr>
              <w:t>3</w:t>
            </w:r>
            <w:r>
              <w:rPr>
                <w:color w:val="auto"/>
                <w:sz w:val="24"/>
              </w:rPr>
              <w:t>类标准。</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b/>
                <w:bCs/>
                <w:color w:val="auto"/>
                <w:sz w:val="24"/>
                <w:lang w:val="en-US"/>
              </w:rPr>
            </w:pPr>
            <w:r>
              <w:rPr>
                <w:rFonts w:hint="eastAsia"/>
                <w:b/>
                <w:bCs/>
                <w:color w:val="auto"/>
                <w:sz w:val="24"/>
                <w:lang w:val="en-US" w:eastAsia="zh-CN"/>
              </w:rPr>
              <w:t>4、固体废物</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spacing w:val="4"/>
                <w:sz w:val="24"/>
                <w:szCs w:val="24"/>
              </w:rPr>
            </w:pPr>
            <w:r>
              <w:rPr>
                <w:rFonts w:ascii="Times New Roman" w:hAnsi="Times New Roman"/>
                <w:b w:val="0"/>
                <w:bCs w:val="0"/>
                <w:color w:val="auto"/>
                <w:kern w:val="2"/>
                <w:sz w:val="24"/>
                <w:szCs w:val="24"/>
                <w:lang w:val="en-US" w:eastAsia="zh-CN"/>
              </w:rPr>
              <w:t>固体废物管理执行《中华人民共和国固体废物污染环境防治法》中的规定，</w:t>
            </w:r>
            <w:r>
              <w:rPr>
                <w:rFonts w:ascii="Times New Roman" w:hAnsi="Times New Roman"/>
                <w:b w:val="0"/>
                <w:bCs w:val="0"/>
                <w:color w:val="auto"/>
                <w:kern w:val="2"/>
                <w:sz w:val="24"/>
                <w:szCs w:val="24"/>
                <w:highlight w:val="none"/>
                <w:lang w:val="en-US" w:eastAsia="zh-CN"/>
              </w:rPr>
              <w:t>一</w:t>
            </w:r>
            <w:r>
              <w:rPr>
                <w:rFonts w:ascii="Times New Roman" w:hAnsi="Times New Roman"/>
                <w:b w:val="0"/>
                <w:bCs w:val="0"/>
                <w:color w:val="auto"/>
                <w:kern w:val="2"/>
                <w:sz w:val="24"/>
                <w:szCs w:val="24"/>
                <w:lang w:val="en-US" w:eastAsia="zh-CN"/>
              </w:rPr>
              <w:t>般工业固体废物贮存执行《一般工业固体废物贮存、处理场污染控制标准》（GB18599-2001）及其修改单要求</w:t>
            </w:r>
            <w:r>
              <w:rPr>
                <w:rFonts w:ascii="Times New Roman" w:hAnsi="Times New Roman"/>
                <w:b w:val="0"/>
                <w:color w:val="auto"/>
                <w:sz w:val="24"/>
                <w:lang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7" w:hRule="atLeast"/>
          <w:jc w:val="center"/>
        </w:trPr>
        <w:tc>
          <w:tcPr>
            <w:tcW w:w="817" w:type="dxa"/>
            <w:noWrap w:val="0"/>
            <w:vAlign w:val="center"/>
          </w:tcPr>
          <w:p>
            <w:pPr>
              <w:ind w:right="361" w:rightChars="172"/>
              <w:jc w:val="center"/>
              <w:rPr>
                <w:rFonts w:hint="eastAsia" w:ascii="宋体" w:hAnsi="宋体" w:cs="宋体"/>
                <w:sz w:val="24"/>
                <w:szCs w:val="24"/>
              </w:rPr>
            </w:pPr>
            <w:r>
              <w:rPr>
                <w:rFonts w:hint="eastAsia" w:ascii="宋体" w:hAnsi="宋体" w:cs="宋体"/>
                <w:sz w:val="24"/>
                <w:szCs w:val="24"/>
              </w:rPr>
              <w:t>总量控制指标</w:t>
            </w:r>
          </w:p>
        </w:tc>
        <w:tc>
          <w:tcPr>
            <w:tcW w:w="8404" w:type="dxa"/>
            <w:noWrap w:val="0"/>
            <w:vAlign w:val="center"/>
          </w:tcPr>
          <w:p>
            <w:pPr>
              <w:spacing w:line="440" w:lineRule="exact"/>
              <w:ind w:firstLine="480" w:firstLineChars="200"/>
              <w:jc w:val="left"/>
              <w:rPr>
                <w:rFonts w:hint="eastAsia"/>
                <w:sz w:val="24"/>
                <w:szCs w:val="24"/>
              </w:rPr>
            </w:pPr>
          </w:p>
          <w:p>
            <w:pPr>
              <w:spacing w:line="420" w:lineRule="exact"/>
              <w:rPr>
                <w:b/>
                <w:bCs/>
                <w:color w:val="auto"/>
                <w:sz w:val="24"/>
                <w:highlight w:val="yellow"/>
              </w:rPr>
            </w:pPr>
          </w:p>
          <w:p>
            <w:pPr>
              <w:spacing w:line="420" w:lineRule="exact"/>
              <w:rPr>
                <w:b w:val="0"/>
                <w:bCs w:val="0"/>
                <w:color w:val="auto"/>
                <w:sz w:val="24"/>
                <w:highlight w:val="none"/>
              </w:rPr>
            </w:pPr>
          </w:p>
          <w:p>
            <w:pPr>
              <w:spacing w:line="420" w:lineRule="exact"/>
              <w:rPr>
                <w:rFonts w:hint="default" w:ascii="Times New Roman" w:hAnsi="Times New Roman" w:cs="Times New Roman"/>
                <w:b w:val="0"/>
                <w:bCs w:val="0"/>
                <w:color w:val="auto"/>
                <w:sz w:val="24"/>
                <w:highlight w:val="none"/>
              </w:rPr>
            </w:pPr>
            <w:r>
              <w:rPr>
                <w:b w:val="0"/>
                <w:bCs w:val="0"/>
                <w:color w:val="auto"/>
                <w:sz w:val="24"/>
                <w:highlight w:val="none"/>
              </w:rPr>
              <w:t>项</w:t>
            </w:r>
            <w:r>
              <w:rPr>
                <w:rFonts w:hint="default" w:ascii="Times New Roman" w:hAnsi="Times New Roman" w:cs="Times New Roman"/>
                <w:b w:val="0"/>
                <w:bCs w:val="0"/>
                <w:color w:val="auto"/>
                <w:sz w:val="24"/>
                <w:highlight w:val="none"/>
              </w:rPr>
              <w:t>目废水排放量为</w:t>
            </w:r>
            <w:r>
              <w:rPr>
                <w:rFonts w:hint="eastAsia" w:cs="Times New Roman"/>
                <w:b w:val="0"/>
                <w:bCs w:val="0"/>
                <w:color w:val="auto"/>
                <w:sz w:val="24"/>
                <w:highlight w:val="none"/>
                <w:lang w:val="en-US" w:eastAsia="zh-CN"/>
              </w:rPr>
              <w:t>330.5</w:t>
            </w:r>
            <w:r>
              <w:rPr>
                <w:rFonts w:hint="default" w:ascii="Times New Roman" w:hAnsi="Times New Roman" w:cs="Times New Roman"/>
                <w:b w:val="0"/>
                <w:bCs w:val="0"/>
                <w:color w:val="auto"/>
                <w:sz w:val="24"/>
                <w:highlight w:val="none"/>
              </w:rPr>
              <w:t>m</w:t>
            </w:r>
            <w:r>
              <w:rPr>
                <w:rFonts w:hint="default" w:ascii="Times New Roman" w:hAnsi="Times New Roman" w:cs="Times New Roman"/>
                <w:b w:val="0"/>
                <w:bCs w:val="0"/>
                <w:color w:val="auto"/>
                <w:sz w:val="24"/>
                <w:highlight w:val="none"/>
                <w:vertAlign w:val="superscript"/>
              </w:rPr>
              <w:t>3</w:t>
            </w:r>
            <w:r>
              <w:rPr>
                <w:rFonts w:hint="default" w:ascii="Times New Roman" w:hAnsi="Times New Roman" w:cs="Times New Roman"/>
                <w:b w:val="0"/>
                <w:bCs w:val="0"/>
                <w:color w:val="auto"/>
                <w:sz w:val="24"/>
                <w:highlight w:val="none"/>
              </w:rPr>
              <w:t>/a，废水中COD</w:t>
            </w:r>
            <w:r>
              <w:rPr>
                <w:rFonts w:hint="default" w:ascii="Times New Roman" w:hAnsi="Times New Roman" w:cs="Times New Roman"/>
                <w:b w:val="0"/>
                <w:bCs w:val="0"/>
                <w:color w:val="auto"/>
                <w:sz w:val="24"/>
                <w:highlight w:val="none"/>
                <w:vertAlign w:val="subscript"/>
              </w:rPr>
              <w:t>Cr</w:t>
            </w:r>
            <w:r>
              <w:rPr>
                <w:rFonts w:hint="default" w:ascii="Times New Roman" w:hAnsi="Times New Roman" w:cs="Times New Roman"/>
                <w:b w:val="0"/>
                <w:bCs w:val="0"/>
                <w:color w:val="auto"/>
                <w:sz w:val="24"/>
                <w:highlight w:val="none"/>
              </w:rPr>
              <w:t>、氨氮接管量分别为</w:t>
            </w:r>
            <w:r>
              <w:rPr>
                <w:rFonts w:hint="eastAsia" w:ascii="Times New Roman" w:cs="Times New Roman"/>
                <w:color w:val="auto"/>
                <w:sz w:val="24"/>
                <w:szCs w:val="24"/>
                <w:lang w:val="en-US" w:eastAsia="zh-CN"/>
              </w:rPr>
              <w:t>0.1</w:t>
            </w:r>
            <w:r>
              <w:rPr>
                <w:rFonts w:hint="eastAsia" w:cs="Times New Roman"/>
                <w:color w:val="auto"/>
                <w:sz w:val="24"/>
                <w:szCs w:val="24"/>
                <w:lang w:val="en-US" w:eastAsia="zh-CN"/>
              </w:rPr>
              <w:t>58</w:t>
            </w:r>
            <w:r>
              <w:rPr>
                <w:rFonts w:ascii="Times New Roman" w:hAnsi="Times New Roman" w:cs="Times New Roman"/>
                <w:color w:val="auto"/>
                <w:sz w:val="24"/>
                <w:szCs w:val="24"/>
                <w:lang w:val="en-US" w:eastAsia="zh-CN"/>
              </w:rPr>
              <w:t>t/a</w:t>
            </w:r>
            <w:r>
              <w:rPr>
                <w:rFonts w:hint="eastAsia" w:cs="Times New Roman"/>
                <w:color w:val="auto"/>
                <w:sz w:val="24"/>
                <w:szCs w:val="24"/>
                <w:lang w:val="en-US" w:eastAsia="zh-CN"/>
              </w:rPr>
              <w:t>、0.009</w:t>
            </w:r>
            <w:r>
              <w:rPr>
                <w:rFonts w:ascii="Times New Roman" w:hAnsi="Times New Roman" w:cs="Times New Roman"/>
                <w:color w:val="auto"/>
                <w:sz w:val="24"/>
                <w:szCs w:val="24"/>
                <w:lang w:val="en-US" w:eastAsia="zh-CN"/>
              </w:rPr>
              <w:t>t/a</w:t>
            </w:r>
            <w:r>
              <w:rPr>
                <w:rFonts w:hint="default" w:ascii="Times New Roman" w:hAnsi="Times New Roman" w:cs="Times New Roman"/>
                <w:b w:val="0"/>
                <w:bCs w:val="0"/>
                <w:color w:val="auto"/>
                <w:sz w:val="24"/>
                <w:highlight w:val="none"/>
              </w:rPr>
              <w:t>，需2倍替代，COD</w:t>
            </w:r>
            <w:r>
              <w:rPr>
                <w:rFonts w:hint="default" w:ascii="Times New Roman" w:hAnsi="Times New Roman" w:cs="Times New Roman"/>
                <w:b w:val="0"/>
                <w:bCs w:val="0"/>
                <w:color w:val="auto"/>
                <w:sz w:val="24"/>
                <w:highlight w:val="none"/>
                <w:vertAlign w:val="subscript"/>
              </w:rPr>
              <w:t>Cr</w:t>
            </w:r>
            <w:r>
              <w:rPr>
                <w:rFonts w:hint="default" w:ascii="Times New Roman" w:hAnsi="Times New Roman" w:cs="Times New Roman"/>
                <w:b w:val="0"/>
                <w:bCs w:val="0"/>
                <w:color w:val="auto"/>
                <w:sz w:val="24"/>
                <w:highlight w:val="none"/>
              </w:rPr>
              <w:t>、氨氮申请总量分别为</w:t>
            </w:r>
            <w:r>
              <w:rPr>
                <w:rFonts w:hint="eastAsia" w:ascii="Times New Roman" w:hAnsi="Times New Roman" w:cs="Times New Roman"/>
                <w:b w:val="0"/>
                <w:bCs w:val="0"/>
                <w:color w:val="auto"/>
                <w:sz w:val="24"/>
                <w:highlight w:val="none"/>
                <w:lang w:val="en-US" w:eastAsia="zh-CN"/>
              </w:rPr>
              <w:t>0</w:t>
            </w:r>
            <w:r>
              <w:rPr>
                <w:rFonts w:hint="eastAsia" w:cs="Times New Roman"/>
                <w:b w:val="0"/>
                <w:bCs w:val="0"/>
                <w:color w:val="auto"/>
                <w:sz w:val="24"/>
                <w:highlight w:val="none"/>
                <w:lang w:val="en-US" w:eastAsia="zh-CN"/>
              </w:rPr>
              <w:t>.316</w:t>
            </w:r>
            <w:r>
              <w:rPr>
                <w:rFonts w:hint="default" w:ascii="Times New Roman" w:hAnsi="Times New Roman" w:cs="Times New Roman"/>
                <w:b w:val="0"/>
                <w:bCs w:val="0"/>
                <w:color w:val="auto"/>
                <w:sz w:val="24"/>
                <w:highlight w:val="none"/>
              </w:rPr>
              <w:t>t/a、</w:t>
            </w:r>
            <w:r>
              <w:rPr>
                <w:rFonts w:hint="eastAsia" w:ascii="Times New Roman" w:hAnsi="Times New Roman" w:cs="Times New Roman"/>
                <w:b w:val="0"/>
                <w:bCs w:val="0"/>
                <w:color w:val="auto"/>
                <w:sz w:val="24"/>
                <w:highlight w:val="none"/>
                <w:lang w:val="en-US" w:eastAsia="zh-CN"/>
              </w:rPr>
              <w:t>0.0</w:t>
            </w:r>
            <w:r>
              <w:rPr>
                <w:rFonts w:hint="eastAsia" w:cs="Times New Roman"/>
                <w:b w:val="0"/>
                <w:bCs w:val="0"/>
                <w:color w:val="auto"/>
                <w:sz w:val="24"/>
                <w:highlight w:val="none"/>
                <w:lang w:val="en-US" w:eastAsia="zh-CN"/>
              </w:rPr>
              <w:t>18</w:t>
            </w:r>
            <w:r>
              <w:rPr>
                <w:rFonts w:hint="default" w:ascii="Times New Roman" w:hAnsi="Times New Roman" w:cs="Times New Roman"/>
                <w:b w:val="0"/>
                <w:bCs w:val="0"/>
                <w:color w:val="auto"/>
                <w:sz w:val="24"/>
                <w:highlight w:val="none"/>
              </w:rPr>
              <w:t>t/a。</w:t>
            </w:r>
          </w:p>
          <w:p>
            <w:pPr>
              <w:pStyle w:val="2"/>
              <w:rPr>
                <w:rFonts w:hint="default" w:ascii="Times New Roman" w:hAnsi="Times New Roman" w:cs="Times New Roman"/>
                <w:b/>
                <w:bCs/>
                <w:color w:val="auto"/>
                <w:sz w:val="24"/>
                <w:highlight w:val="none"/>
              </w:rPr>
            </w:pPr>
          </w:p>
          <w:p>
            <w:pPr>
              <w:rPr>
                <w:rFonts w:hint="default"/>
              </w:rPr>
            </w:pPr>
          </w:p>
          <w:p>
            <w:pPr>
              <w:pStyle w:val="2"/>
              <w:rPr>
                <w:rFonts w:hint="default"/>
              </w:rPr>
            </w:pPr>
          </w:p>
          <w:p>
            <w:pPr>
              <w:spacing w:line="440" w:lineRule="exact"/>
              <w:jc w:val="left"/>
              <w:rPr>
                <w:rFonts w:hint="eastAsia"/>
                <w:sz w:val="24"/>
                <w:szCs w:val="24"/>
                <w:lang w:val="de-DE"/>
              </w:rPr>
            </w:pPr>
          </w:p>
        </w:tc>
      </w:tr>
    </w:tbl>
    <w:p>
      <w:pPr>
        <w:spacing w:line="360" w:lineRule="auto"/>
        <w:outlineLvl w:val="0"/>
        <w:rPr>
          <w:rFonts w:hint="eastAsia" w:ascii="黑体" w:hAnsi="宋体" w:eastAsia="黑体"/>
          <w:b w:val="0"/>
          <w:bCs w:val="0"/>
          <w:sz w:val="28"/>
          <w:szCs w:val="28"/>
        </w:rPr>
      </w:pPr>
      <w:bookmarkStart w:id="6" w:name="_Toc523785284"/>
      <w:r>
        <w:rPr>
          <w:rFonts w:hint="eastAsia" w:ascii="黑体" w:hAnsi="宋体" w:eastAsia="黑体"/>
          <w:b w:val="0"/>
          <w:bCs w:val="0"/>
          <w:sz w:val="28"/>
          <w:szCs w:val="28"/>
        </w:rPr>
        <w:t>建设项目工程分析</w:t>
      </w:r>
      <w:bookmarkEnd w:id="6"/>
    </w:p>
    <w:tbl>
      <w:tblPr>
        <w:tblStyle w:val="37"/>
        <w:tblW w:w="9234" w:type="dxa"/>
        <w:tblInd w:w="-157"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923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313" w:hRule="atLeast"/>
        </w:trPr>
        <w:tc>
          <w:tcPr>
            <w:tcW w:w="9234" w:type="dxa"/>
            <w:noWrap w:val="0"/>
            <w:vAlign w:val="top"/>
          </w:tcPr>
          <w:p>
            <w:pPr>
              <w:keepNext w:val="0"/>
              <w:keepLines w:val="0"/>
              <w:pageBreakBefore w:val="0"/>
              <w:widowControl w:val="0"/>
              <w:kinsoku/>
              <w:wordWrap/>
              <w:overflowPunct/>
              <w:topLinePunct w:val="0"/>
              <w:autoSpaceDE/>
              <w:autoSpaceDN/>
              <w:bidi w:val="0"/>
              <w:adjustRightInd w:val="0"/>
              <w:snapToGrid w:val="0"/>
              <w:spacing w:line="360" w:lineRule="auto"/>
              <w:textAlignment w:val="auto"/>
              <w:rPr>
                <w:sz w:val="24"/>
                <w:szCs w:val="24"/>
              </w:rPr>
            </w:pPr>
            <w:r>
              <w:rPr>
                <w:sz w:val="24"/>
                <w:szCs w:val="24"/>
              </w:rPr>
              <w:t>一、施工期工艺流程及污染因子分析</w:t>
            </w:r>
          </w:p>
          <w:p>
            <w:pPr>
              <w:keepNext w:val="0"/>
              <w:keepLines w:val="0"/>
              <w:pageBreakBefore w:val="0"/>
              <w:widowControl w:val="0"/>
              <w:tabs>
                <w:tab w:val="left" w:pos="4382"/>
              </w:tabs>
              <w:kinsoku/>
              <w:wordWrap/>
              <w:overflowPunct/>
              <w:topLinePunct w:val="0"/>
              <w:autoSpaceDE/>
              <w:autoSpaceDN/>
              <w:bidi w:val="0"/>
              <w:adjustRightInd w:val="0"/>
              <w:snapToGrid w:val="0"/>
              <w:spacing w:line="360" w:lineRule="auto"/>
              <w:ind w:firstLine="480" w:firstLineChars="200"/>
              <w:textAlignment w:val="auto"/>
              <w:rPr>
                <w:rFonts w:hint="eastAsia"/>
                <w:sz w:val="24"/>
                <w:szCs w:val="24"/>
              </w:rPr>
            </w:pPr>
            <w:r>
              <w:rPr>
                <w:sz w:val="24"/>
                <w:szCs w:val="24"/>
              </w:rPr>
              <w:t>1、施工期工艺流程</w:t>
            </w:r>
            <w:r>
              <w:rPr>
                <w:rFonts w:hint="eastAsia"/>
                <w:sz w:val="24"/>
                <w:szCs w:val="24"/>
                <w:lang w:val="en-US" w:eastAsia="zh-CN"/>
              </w:rPr>
              <w:t>及产污环节</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sz w:val="24"/>
                <w:szCs w:val="24"/>
                <w:lang w:val="en-US" w:eastAsia="zh-CN"/>
              </w:rPr>
            </w:pPr>
            <w:r>
              <w:rPr>
                <w:rFonts w:hint="eastAsia"/>
                <w:sz w:val="24"/>
                <w:szCs w:val="24"/>
              </w:rPr>
              <w:t>项目租赁</w:t>
            </w:r>
            <w:r>
              <w:rPr>
                <w:rFonts w:hint="eastAsia"/>
                <w:sz w:val="24"/>
                <w:szCs w:val="24"/>
                <w:lang w:val="en-US" w:eastAsia="zh-CN"/>
              </w:rPr>
              <w:t>现有厂房</w:t>
            </w:r>
            <w:r>
              <w:rPr>
                <w:rFonts w:hint="eastAsia"/>
                <w:sz w:val="24"/>
                <w:szCs w:val="24"/>
              </w:rPr>
              <w:t>，不涉及土建施工，主要为室内装修、安装设备，工程量较小。</w:t>
            </w:r>
            <w:r>
              <w:rPr>
                <w:rFonts w:hint="eastAsia"/>
                <w:sz w:val="24"/>
                <w:szCs w:val="24"/>
                <w:lang w:val="en-US" w:eastAsia="zh-CN"/>
              </w:rPr>
              <w:t>主要产污环节为建筑垃圾、生活污水、生活垃圾、施工噪声。</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sz w:val="24"/>
                <w:szCs w:val="24"/>
                <w:lang w:val="en-US" w:eastAsia="zh-CN"/>
              </w:rPr>
            </w:pPr>
            <w:r>
              <w:rPr>
                <w:rFonts w:hint="eastAsia"/>
                <w:sz w:val="24"/>
                <w:szCs w:val="24"/>
                <w:lang w:val="en-US" w:eastAsia="zh-CN"/>
              </w:rPr>
              <w:t>2、</w:t>
            </w:r>
            <w:r>
              <w:rPr>
                <w:rFonts w:hint="eastAsia"/>
                <w:sz w:val="24"/>
                <w:szCs w:val="24"/>
              </w:rPr>
              <w:t>运营期</w:t>
            </w:r>
            <w:r>
              <w:rPr>
                <w:rFonts w:hint="eastAsia"/>
                <w:sz w:val="24"/>
                <w:szCs w:val="24"/>
                <w:lang w:val="en-US" w:eastAsia="zh-CN"/>
              </w:rPr>
              <w:t>工艺流程及产污环节</w:t>
            </w:r>
          </w:p>
          <w:p>
            <w:pPr>
              <w:pStyle w:val="185"/>
              <w:keepNext w:val="0"/>
              <w:keepLines w:val="0"/>
              <w:pageBreakBefore w:val="0"/>
              <w:widowControl w:val="0"/>
              <w:kinsoku/>
              <w:wordWrap/>
              <w:overflowPunct/>
              <w:topLinePunct w:val="0"/>
              <w:autoSpaceDE/>
              <w:bidi w:val="0"/>
              <w:adjustRightInd w:val="0"/>
              <w:snapToGrid w:val="0"/>
              <w:spacing w:before="0" w:line="360" w:lineRule="auto"/>
              <w:textAlignment w:val="auto"/>
              <w:rPr>
                <w:rFonts w:hint="eastAsia"/>
                <w:sz w:val="24"/>
                <w:szCs w:val="24"/>
                <w:lang w:val="en-US" w:eastAsia="zh-CN"/>
              </w:rPr>
            </w:pPr>
            <w:r>
              <w:rPr>
                <w:rFonts w:hint="eastAsia"/>
                <w:sz w:val="24"/>
                <w:szCs w:val="24"/>
                <w:lang w:val="en-US" w:eastAsia="zh-CN"/>
              </w:rPr>
              <w:t>项目主要生产天然食品添加剂，其工艺流程见图1。</w:t>
            </w:r>
          </w:p>
          <w:p>
            <w:pPr>
              <w:pStyle w:val="185"/>
              <w:keepNext w:val="0"/>
              <w:keepLines w:val="0"/>
              <w:pageBreakBefore w:val="0"/>
              <w:widowControl w:val="0"/>
              <w:kinsoku/>
              <w:wordWrap/>
              <w:overflowPunct/>
              <w:topLinePunct w:val="0"/>
              <w:autoSpaceDE/>
              <w:bidi w:val="0"/>
              <w:adjustRightInd w:val="0"/>
              <w:snapToGrid w:val="0"/>
              <w:spacing w:before="0" w:line="360" w:lineRule="auto"/>
              <w:ind w:left="479" w:leftChars="228" w:firstLine="0" w:firstLineChars="0"/>
              <w:textAlignment w:val="auto"/>
              <w:rPr>
                <w:rFonts w:hint="eastAsia"/>
                <w:sz w:val="24"/>
                <w:szCs w:val="24"/>
                <w:lang w:val="en-US" w:eastAsia="zh-CN"/>
              </w:rPr>
            </w:pPr>
            <w:r>
              <w:rPr>
                <w:rFonts w:hint="eastAsia"/>
                <w:sz w:val="24"/>
                <w:szCs w:val="24"/>
                <w:lang w:val="en-US" w:eastAsia="zh-CN"/>
              </w:rPr>
              <w:object>
                <v:shape id="_x0000_i1028" o:spt="75" type="#_x0000_t75" style="height:148.5pt;width:397.5pt;" o:ole="t" filled="f" o:preferrelative="t" stroked="f" coordsize="21600,21600">
                  <v:path/>
                  <v:fill on="f" focussize="0,0"/>
                  <v:stroke on="f"/>
                  <v:imagedata r:id="rId9" o:title=""/>
                  <o:lock v:ext="edit" aspectratio="f"/>
                  <w10:wrap type="none"/>
                  <w10:anchorlock/>
                </v:shape>
                <o:OLEObject Type="Embed" ProgID="Visio.Drawing.11" ShapeID="_x0000_i1028" DrawAspect="Content" ObjectID="_1468075725" r:id="rId8">
                  <o:LockedField>false</o:LockedField>
                </o:OLEObject>
              </w:object>
            </w:r>
          </w:p>
          <w:p>
            <w:pPr>
              <w:keepNext w:val="0"/>
              <w:keepLines w:val="0"/>
              <w:pageBreakBefore w:val="0"/>
              <w:widowControl w:val="0"/>
              <w:kinsoku/>
              <w:wordWrap/>
              <w:overflowPunct/>
              <w:topLinePunct w:val="0"/>
              <w:autoSpaceDE/>
              <w:autoSpaceDN w:val="0"/>
              <w:bidi w:val="0"/>
              <w:adjustRightInd w:val="0"/>
              <w:snapToGrid w:val="0"/>
              <w:spacing w:line="360" w:lineRule="auto"/>
              <w:jc w:val="center"/>
              <w:textAlignment w:val="auto"/>
              <w:rPr>
                <w:rFonts w:hint="default" w:ascii="Times New Roman" w:hAnsi="Times New Roman" w:eastAsia="黑体" w:cs="Times New Roman"/>
                <w:sz w:val="21"/>
                <w:szCs w:val="21"/>
                <w:lang w:val="en-US" w:eastAsia="zh-CN"/>
              </w:rPr>
            </w:pPr>
            <w:r>
              <w:rPr>
                <w:rFonts w:hint="default" w:ascii="Times New Roman" w:hAnsi="Times New Roman" w:eastAsia="黑体" w:cs="Times New Roman"/>
                <w:sz w:val="21"/>
                <w:szCs w:val="21"/>
                <w:lang w:val="en-US" w:eastAsia="zh-CN"/>
              </w:rPr>
              <w:t>图1 生产工艺流程及产污环节图</w:t>
            </w:r>
          </w:p>
          <w:p>
            <w:pPr>
              <w:keepNext w:val="0"/>
              <w:keepLines w:val="0"/>
              <w:pageBreakBefore w:val="0"/>
              <w:widowControl w:val="0"/>
              <w:kinsoku/>
              <w:wordWrap/>
              <w:overflowPunct/>
              <w:topLinePunct w:val="0"/>
              <w:autoSpaceDE/>
              <w:autoSpaceDN w:val="0"/>
              <w:bidi w:val="0"/>
              <w:adjustRightInd w:val="0"/>
              <w:snapToGrid w:val="0"/>
              <w:spacing w:line="360" w:lineRule="auto"/>
              <w:ind w:firstLine="480"/>
              <w:jc w:val="both"/>
              <w:textAlignment w:val="auto"/>
              <w:rPr>
                <w:rFonts w:hint="default"/>
                <w:sz w:val="24"/>
                <w:szCs w:val="24"/>
                <w:lang w:val="en-US" w:eastAsia="zh-CN"/>
              </w:rPr>
            </w:pPr>
            <w:r>
              <w:rPr>
                <w:rFonts w:hint="eastAsia"/>
                <w:sz w:val="24"/>
                <w:szCs w:val="24"/>
                <w:lang w:val="en-US" w:eastAsia="zh-CN"/>
              </w:rPr>
              <w:t>（1）分拣、清洗沥干：人工分拣出符合要求的当季新鲜植物花、叶（如樱花、茶叶、玫瑰花等），放置在臭氧气泡清洗机内清洗（臭氧起到杀菌作用），利用新鲜水清洗去除表面的泥土，沥干。该过程产生少量不合格原料、原料清洗废水及设备清洗废水。</w:t>
            </w:r>
          </w:p>
          <w:p>
            <w:pPr>
              <w:keepNext w:val="0"/>
              <w:keepLines w:val="0"/>
              <w:pageBreakBefore w:val="0"/>
              <w:widowControl w:val="0"/>
              <w:kinsoku/>
              <w:wordWrap/>
              <w:overflowPunct/>
              <w:topLinePunct w:val="0"/>
              <w:autoSpaceDE/>
              <w:autoSpaceDN w:val="0"/>
              <w:bidi w:val="0"/>
              <w:adjustRightInd w:val="0"/>
              <w:snapToGrid w:val="0"/>
              <w:spacing w:line="360" w:lineRule="auto"/>
              <w:ind w:firstLine="480"/>
              <w:jc w:val="both"/>
              <w:textAlignment w:val="auto"/>
              <w:rPr>
                <w:rFonts w:hint="eastAsia"/>
                <w:sz w:val="24"/>
                <w:szCs w:val="24"/>
                <w:lang w:val="en-US" w:eastAsia="zh-CN"/>
              </w:rPr>
            </w:pPr>
            <w:r>
              <w:rPr>
                <w:rFonts w:hint="eastAsia"/>
                <w:sz w:val="24"/>
                <w:szCs w:val="24"/>
                <w:lang w:val="en-US" w:eastAsia="zh-CN"/>
              </w:rPr>
              <w:t>（2）真空干燥提取：沥干后的花、叶通过管道输送至真空干燥机的物料筒，开启真空泵，抽真空后（真空度维持在-98kPa），通过电蒸汽发生器提供蒸汽间接加热使干燥机维持温度35~40℃，加热时间依物料量、原料特性而不同。利用真空条件下液体沸点降低的原理，植物花、叶的水溶性物质蒸发，通过真空干燥机冷却水循环降温冷凝提取物（风冷，冷水温度为12~13</w:t>
            </w:r>
            <w:r>
              <w:rPr>
                <w:sz w:val="24"/>
                <w:szCs w:val="24"/>
              </w:rPr>
              <w:t>℃</w:t>
            </w:r>
            <w:r>
              <w:rPr>
                <w:rFonts w:hint="eastAsia"/>
                <w:sz w:val="24"/>
                <w:szCs w:val="24"/>
                <w:lang w:val="en-US" w:eastAsia="zh-CN"/>
              </w:rPr>
              <w:t>），得到无色、透明的、水溶性植物提取液（约含98%的水），冷凝液由真空干燥机自带真空罐收集，即为天然食品添加剂。</w:t>
            </w:r>
            <w:r>
              <w:rPr>
                <w:rFonts w:hint="eastAsia"/>
                <w:b/>
                <w:bCs/>
                <w:sz w:val="24"/>
                <w:szCs w:val="24"/>
                <w:lang w:val="en-US" w:eastAsia="zh-CN"/>
              </w:rPr>
              <w:t>提取过程不添加有机溶剂</w:t>
            </w:r>
            <w:r>
              <w:rPr>
                <w:rFonts w:hint="eastAsia"/>
                <w:sz w:val="24"/>
                <w:szCs w:val="24"/>
                <w:lang w:val="en-US" w:eastAsia="zh-CN"/>
              </w:rPr>
              <w:t>，提取、冷却过程会产生异味，还会产生设备清洗废水、植物残渣、设备噪声。</w:t>
            </w:r>
          </w:p>
          <w:p>
            <w:pPr>
              <w:pStyle w:val="2"/>
              <w:keepNext w:val="0"/>
              <w:keepLines w:val="0"/>
              <w:pageBreakBefore w:val="0"/>
              <w:widowControl w:val="0"/>
              <w:kinsoku/>
              <w:wordWrap/>
              <w:overflowPunct/>
              <w:topLinePunct w:val="0"/>
              <w:autoSpaceDE/>
              <w:autoSpaceDN/>
              <w:bidi w:val="0"/>
              <w:adjustRightInd w:val="0"/>
              <w:snapToGrid w:val="0"/>
              <w:spacing w:after="0" w:line="360" w:lineRule="auto"/>
              <w:ind w:left="0" w:leftChars="0" w:firstLine="480" w:firstLineChars="200"/>
              <w:textAlignment w:val="baseline"/>
              <w:rPr>
                <w:rFonts w:hint="eastAsia" w:cs="Times New Roman"/>
                <w:kern w:val="2"/>
                <w:sz w:val="24"/>
                <w:szCs w:val="24"/>
                <w:lang w:val="en-US" w:eastAsia="zh-CN" w:bidi="ar-SA"/>
              </w:rPr>
            </w:pPr>
            <w:r>
              <w:rPr>
                <w:rFonts w:hint="eastAsia" w:cs="Times New Roman"/>
                <w:kern w:val="2"/>
                <w:sz w:val="24"/>
                <w:szCs w:val="24"/>
                <w:lang w:val="en-US" w:eastAsia="zh-CN" w:bidi="ar-SA"/>
              </w:rPr>
              <w:t>（3）</w:t>
            </w:r>
            <w:r>
              <w:rPr>
                <w:rFonts w:hint="eastAsia" w:ascii="Times New Roman" w:hAnsi="Times New Roman" w:eastAsia="宋体" w:cs="Times New Roman"/>
                <w:kern w:val="2"/>
                <w:sz w:val="24"/>
                <w:szCs w:val="24"/>
                <w:lang w:val="en-US" w:eastAsia="zh-CN" w:bidi="ar-SA"/>
              </w:rPr>
              <w:t>定量灌装：</w:t>
            </w:r>
            <w:r>
              <w:rPr>
                <w:rFonts w:hint="eastAsia" w:cs="Times New Roman"/>
                <w:kern w:val="2"/>
                <w:sz w:val="24"/>
                <w:szCs w:val="24"/>
                <w:lang w:val="en-US" w:eastAsia="zh-CN" w:bidi="ar-SA"/>
              </w:rPr>
              <w:t>真空罐的提取物通过管道输送至移动式物料桶，按照批次运至灌装工位进行定量灌装。该过程产生设备清洗废水、设备噪声。</w:t>
            </w:r>
          </w:p>
          <w:p>
            <w:pPr>
              <w:pStyle w:val="185"/>
              <w:adjustRightInd w:val="0"/>
              <w:snapToGrid w:val="0"/>
              <w:spacing w:before="0" w:line="360" w:lineRule="auto"/>
              <w:rPr>
                <w:rFonts w:hint="eastAsia" w:eastAsia="宋体"/>
                <w:b/>
                <w:color w:val="FF0000"/>
                <w:lang w:val="en-US" w:eastAsia="zh-CN"/>
              </w:rPr>
            </w:pPr>
            <w:r>
              <w:rPr>
                <w:rFonts w:hint="eastAsia" w:ascii="Times New Roman" w:hAnsi="Times New Roman" w:eastAsia="宋体" w:cs="Times New Roman"/>
                <w:kern w:val="2"/>
                <w:sz w:val="24"/>
                <w:szCs w:val="24"/>
                <w:lang w:val="en-US" w:eastAsia="zh-CN" w:bidi="ar-SA"/>
              </w:rPr>
              <w:t>项目提取间洁净度为30万级，灌装间洁净度为10万级。</w:t>
            </w:r>
            <w:r>
              <w:rPr>
                <w:rFonts w:hint="eastAsia" w:cs="Times New Roman"/>
                <w:kern w:val="2"/>
                <w:sz w:val="24"/>
                <w:szCs w:val="24"/>
                <w:lang w:val="en-US" w:eastAsia="zh-CN" w:bidi="ar-SA"/>
              </w:rPr>
              <w:t>车间</w:t>
            </w:r>
            <w:r>
              <w:rPr>
                <w:rFonts w:hint="eastAsia" w:ascii="Times New Roman" w:hAnsi="Times New Roman" w:eastAsia="宋体" w:cs="Times New Roman"/>
                <w:kern w:val="2"/>
                <w:sz w:val="24"/>
                <w:szCs w:val="24"/>
                <w:lang w:val="en-US" w:eastAsia="zh-CN" w:bidi="ar-SA"/>
              </w:rPr>
              <w:t>出风口是将车间空气排出的通道，进风口是车间补充新风</w:t>
            </w:r>
            <w:r>
              <w:rPr>
                <w:rFonts w:hint="eastAsia"/>
              </w:rPr>
              <w:t>的通道，进风口设有过滤系统，去除空气中的粉尘，以保证进入车间的新风达到无尘车间要求；出风口也设有滤芯、网栅等过滤材质，降低排风中的粉尘</w:t>
            </w:r>
            <w:r>
              <w:rPr>
                <w:rFonts w:hint="eastAsia"/>
                <w:lang w:eastAsia="zh-CN"/>
              </w:rPr>
              <w:t>，</w:t>
            </w:r>
            <w:r>
              <w:rPr>
                <w:rFonts w:hint="eastAsia"/>
                <w:lang w:val="en-US" w:eastAsia="zh-CN"/>
              </w:rPr>
              <w:t>同时可以吸附部分的异味气体</w:t>
            </w:r>
            <w:r>
              <w:rPr>
                <w:rFonts w:hint="eastAsia"/>
                <w:lang w:eastAsia="zh-CN"/>
              </w:rPr>
              <w:t>。</w:t>
            </w:r>
          </w:p>
          <w:p>
            <w:pPr>
              <w:pStyle w:val="185"/>
              <w:adjustRightInd w:val="0"/>
              <w:snapToGrid w:val="0"/>
              <w:spacing w:before="0" w:line="360" w:lineRule="auto"/>
              <w:ind w:left="0" w:leftChars="0" w:firstLine="0" w:firstLineChars="0"/>
              <w:rPr>
                <w:rFonts w:hint="default" w:ascii="Times New Roman" w:hAnsi="Times New Roman" w:cs="Times New Roman"/>
                <w:b/>
                <w:color w:val="auto"/>
              </w:rPr>
            </w:pPr>
            <w:r>
              <w:rPr>
                <w:rFonts w:hint="eastAsia"/>
                <w:b/>
                <w:color w:val="auto"/>
                <w:lang w:val="en-US" w:eastAsia="zh-CN"/>
              </w:rPr>
              <w:t>项目</w:t>
            </w:r>
            <w:r>
              <w:rPr>
                <w:b/>
                <w:color w:val="auto"/>
              </w:rPr>
              <w:t>污染</w:t>
            </w:r>
            <w:r>
              <w:rPr>
                <w:rFonts w:hint="eastAsia"/>
                <w:b/>
                <w:color w:val="auto"/>
                <w:lang w:val="en-US" w:eastAsia="zh-CN"/>
              </w:rPr>
              <w:t>物及</w:t>
            </w:r>
            <w:r>
              <w:rPr>
                <w:b/>
                <w:color w:val="auto"/>
              </w:rPr>
              <w:t>源强分析</w:t>
            </w:r>
          </w:p>
          <w:p>
            <w:pPr>
              <w:pStyle w:val="185"/>
              <w:keepNext w:val="0"/>
              <w:keepLines w:val="0"/>
              <w:pageBreakBefore w:val="0"/>
              <w:widowControl w:val="0"/>
              <w:kinsoku/>
              <w:wordWrap/>
              <w:overflowPunct/>
              <w:topLinePunct w:val="0"/>
              <w:autoSpaceDE/>
              <w:autoSpaceDN/>
              <w:bidi w:val="0"/>
              <w:adjustRightInd w:val="0"/>
              <w:snapToGrid w:val="0"/>
              <w:spacing w:before="0" w:line="360" w:lineRule="auto"/>
              <w:ind w:left="0" w:leftChars="0" w:firstLine="0" w:firstLineChars="0"/>
              <w:textAlignment w:val="auto"/>
              <w:rPr>
                <w:rFonts w:hint="eastAsia" w:ascii="宋体" w:hAnsi="宋体"/>
                <w:b/>
                <w:sz w:val="24"/>
              </w:rPr>
            </w:pPr>
            <w:r>
              <w:rPr>
                <w:rFonts w:hint="eastAsia" w:ascii="宋体" w:hAnsi="宋体"/>
                <w:b/>
                <w:sz w:val="24"/>
              </w:rPr>
              <w:t>一、施工期</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rPr>
            </w:pPr>
            <w:r>
              <w:rPr>
                <w:sz w:val="24"/>
              </w:rPr>
              <w:t>拟建项目施工期较短，</w:t>
            </w:r>
            <w:r>
              <w:rPr>
                <w:rFonts w:hint="eastAsia"/>
                <w:sz w:val="24"/>
                <w:lang w:val="en-US" w:eastAsia="zh-CN"/>
              </w:rPr>
              <w:t>不涉及土建工程，主要为室内</w:t>
            </w:r>
            <w:r>
              <w:rPr>
                <w:sz w:val="24"/>
              </w:rPr>
              <w:t>装修</w:t>
            </w:r>
            <w:r>
              <w:rPr>
                <w:rFonts w:hint="eastAsia"/>
                <w:sz w:val="24"/>
                <w:lang w:eastAsia="zh-CN"/>
              </w:rPr>
              <w:t>、</w:t>
            </w:r>
            <w:r>
              <w:rPr>
                <w:sz w:val="24"/>
              </w:rPr>
              <w:t>安装设备</w:t>
            </w:r>
            <w:r>
              <w:rPr>
                <w:rFonts w:hint="eastAsia"/>
                <w:sz w:val="24"/>
                <w:lang w:val="en-US" w:eastAsia="zh-CN"/>
              </w:rPr>
              <w:t>等，施工期对环境造成的影响随着施工期结束而结束，本次评价不做分析</w:t>
            </w:r>
            <w:r>
              <w:rPr>
                <w:rFonts w:hint="eastAsia"/>
                <w:sz w:val="24"/>
              </w:rPr>
              <w:t>。</w:t>
            </w: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b/>
                <w:sz w:val="24"/>
              </w:rPr>
            </w:pPr>
            <w:r>
              <w:rPr>
                <w:rFonts w:hint="eastAsia" w:ascii="宋体" w:hAnsi="宋体"/>
                <w:b/>
                <w:sz w:val="24"/>
              </w:rPr>
              <w:t>二、运营期</w:t>
            </w:r>
          </w:p>
          <w:p>
            <w:pPr>
              <w:keepNext w:val="0"/>
              <w:keepLines w:val="0"/>
              <w:pageBreakBefore w:val="0"/>
              <w:widowControl/>
              <w:kinsoku/>
              <w:wordWrap/>
              <w:overflowPunct/>
              <w:topLinePunct w:val="0"/>
              <w:autoSpaceDE/>
              <w:autoSpaceDN/>
              <w:bidi w:val="0"/>
              <w:adjustRightInd w:val="0"/>
              <w:snapToGrid w:val="0"/>
              <w:spacing w:line="360" w:lineRule="auto"/>
              <w:ind w:firstLine="482" w:firstLineChars="200"/>
              <w:textAlignment w:val="auto"/>
              <w:rPr>
                <w:b/>
                <w:bCs/>
                <w:sz w:val="24"/>
              </w:rPr>
            </w:pPr>
            <w:r>
              <w:rPr>
                <w:b/>
                <w:bCs/>
                <w:sz w:val="24"/>
              </w:rPr>
              <w:t>1</w:t>
            </w:r>
            <w:r>
              <w:rPr>
                <w:rFonts w:hAnsi="宋体"/>
                <w:b/>
                <w:bCs/>
                <w:sz w:val="24"/>
              </w:rPr>
              <w:t>、废水</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default"/>
                <w:sz w:val="24"/>
                <w:lang w:val="en-US" w:eastAsia="zh-CN"/>
              </w:rPr>
            </w:pPr>
            <w:r>
              <w:rPr>
                <w:rFonts w:hint="eastAsia"/>
                <w:sz w:val="24"/>
                <w:lang w:val="en-US" w:eastAsia="zh-CN"/>
              </w:rPr>
              <w:t>项目废水主要来源于原料清洗、设备清洗、地面清洗废水、纯水制备产生的浓排水及生活污水。</w:t>
            </w:r>
          </w:p>
          <w:p>
            <w:pPr>
              <w:keepNext w:val="0"/>
              <w:keepLines w:val="0"/>
              <w:pageBreakBefore w:val="0"/>
              <w:numPr>
                <w:ilvl w:val="0"/>
                <w:numId w:val="5"/>
              </w:numPr>
              <w:kinsoku/>
              <w:wordWrap/>
              <w:overflowPunct/>
              <w:topLinePunct w:val="0"/>
              <w:autoSpaceDE/>
              <w:autoSpaceDN/>
              <w:bidi w:val="0"/>
              <w:adjustRightInd w:val="0"/>
              <w:snapToGrid w:val="0"/>
              <w:spacing w:line="360" w:lineRule="auto"/>
              <w:ind w:firstLine="480" w:firstLineChars="200"/>
              <w:textAlignment w:val="auto"/>
              <w:rPr>
                <w:rFonts w:hint="eastAsia" w:hAnsi="宋体"/>
                <w:sz w:val="24"/>
                <w:lang w:val="en-US" w:eastAsia="zh-CN"/>
              </w:rPr>
            </w:pPr>
            <w:r>
              <w:rPr>
                <w:rFonts w:hint="eastAsia" w:hAnsi="宋体"/>
                <w:sz w:val="24"/>
                <w:lang w:val="en-US" w:eastAsia="zh-CN"/>
              </w:rPr>
              <w:t>水平衡</w:t>
            </w:r>
          </w:p>
          <w:p>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default" w:hAnsi="宋体"/>
                <w:sz w:val="24"/>
                <w:szCs w:val="24"/>
                <w:lang w:val="en-US" w:eastAsia="zh-CN"/>
              </w:rPr>
            </w:pPr>
            <w:r>
              <w:rPr>
                <w:rFonts w:hint="eastAsia" w:hAnsi="宋体"/>
                <w:sz w:val="24"/>
                <w:szCs w:val="24"/>
                <w:lang w:val="en-US" w:eastAsia="zh-CN"/>
              </w:rPr>
              <w:t>1）用水环节</w:t>
            </w:r>
          </w:p>
          <w:p>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default" w:hAnsi="宋体" w:eastAsia="宋体"/>
                <w:sz w:val="24"/>
                <w:szCs w:val="24"/>
                <w:lang w:val="en-US" w:eastAsia="zh-CN"/>
              </w:rPr>
            </w:pPr>
            <w:r>
              <w:rPr>
                <w:rFonts w:hint="eastAsia" w:hAnsi="宋体"/>
                <w:sz w:val="24"/>
                <w:szCs w:val="24"/>
                <w:lang w:val="en-US" w:eastAsia="zh-CN"/>
              </w:rPr>
              <w:t>项目用水环节包括原料清洗用水、设备清洗用水、地面清洗用水、冷却系统补充水、电蒸汽发生器用水、纯水系统用水及生活用水。</w:t>
            </w:r>
          </w:p>
          <w:p>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default" w:eastAsia="宋体"/>
                <w:sz w:val="24"/>
                <w:lang w:val="en-US" w:eastAsia="zh-CN"/>
              </w:rPr>
            </w:pPr>
            <w:r>
              <w:rPr>
                <w:rFonts w:hint="eastAsia" w:hAnsi="宋体"/>
                <w:sz w:val="24"/>
                <w:szCs w:val="24"/>
              </w:rPr>
              <w:fldChar w:fldCharType="begin"/>
            </w:r>
            <w:r>
              <w:rPr>
                <w:rFonts w:hint="eastAsia" w:hAnsi="宋体"/>
                <w:sz w:val="24"/>
                <w:szCs w:val="24"/>
              </w:rPr>
              <w:instrText xml:space="preserve"> = 1 \* GB3 \* MERGEFORMAT </w:instrText>
            </w:r>
            <w:r>
              <w:rPr>
                <w:rFonts w:hint="eastAsia" w:hAnsi="宋体"/>
                <w:sz w:val="24"/>
                <w:szCs w:val="24"/>
              </w:rPr>
              <w:fldChar w:fldCharType="separate"/>
            </w:r>
            <w:r>
              <w:rPr>
                <w:sz w:val="24"/>
                <w:szCs w:val="24"/>
              </w:rPr>
              <w:t>①</w:t>
            </w:r>
            <w:r>
              <w:rPr>
                <w:rFonts w:hint="eastAsia" w:hAnsi="宋体"/>
                <w:sz w:val="24"/>
                <w:szCs w:val="24"/>
              </w:rPr>
              <w:fldChar w:fldCharType="end"/>
            </w:r>
            <w:r>
              <w:rPr>
                <w:rFonts w:hint="eastAsia" w:hAnsi="宋体"/>
                <w:sz w:val="24"/>
                <w:szCs w:val="24"/>
                <w:lang w:val="en-US" w:eastAsia="zh-CN"/>
              </w:rPr>
              <w:t>生产工艺用水</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hAnsi="宋体"/>
                <w:sz w:val="24"/>
                <w:lang w:val="en-US" w:eastAsia="zh-CN"/>
              </w:rPr>
            </w:pPr>
            <w:r>
              <w:rPr>
                <w:rFonts w:hint="eastAsia" w:hAnsi="宋体"/>
                <w:sz w:val="24"/>
                <w:lang w:val="en-US" w:eastAsia="zh-CN"/>
              </w:rPr>
              <w:t>原料清洗用水：原料（花、叶）采用新鲜水清洗，根据建设单位提供资料，原料清洗用水量约25t/a。</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hAnsi="宋体"/>
                <w:sz w:val="24"/>
                <w:lang w:val="en-US" w:eastAsia="zh-CN"/>
              </w:rPr>
            </w:pPr>
            <w:r>
              <w:rPr>
                <w:rFonts w:hint="eastAsia" w:hAnsi="宋体"/>
                <w:sz w:val="24"/>
                <w:lang w:val="en-US" w:eastAsia="zh-CN"/>
              </w:rPr>
              <w:t>设备清洗用水：每做完一批产品，需要清洗干燥机、灌装机及输送管路，清洗设备采用纯水，纯水用量为50t/a。</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hAnsi="宋体"/>
                <w:sz w:val="24"/>
                <w:lang w:val="en-US" w:eastAsia="zh-CN"/>
              </w:rPr>
            </w:pPr>
            <w:r>
              <w:rPr>
                <w:rFonts w:hint="eastAsia" w:hAnsi="宋体"/>
                <w:sz w:val="24"/>
                <w:lang w:val="en-US" w:eastAsia="zh-CN"/>
              </w:rPr>
              <w:t>地面清洗用水：生产区域需要每天清洗一次，</w:t>
            </w:r>
            <w:r>
              <w:rPr>
                <w:rFonts w:ascii="Times New Roman" w:hAnsi="Times New Roman"/>
                <w:sz w:val="24"/>
              </w:rPr>
              <w:t>地面冲洗水量按2L/（m</w:t>
            </w:r>
            <w:r>
              <w:rPr>
                <w:rFonts w:ascii="Times New Roman" w:hAnsi="Times New Roman"/>
                <w:sz w:val="24"/>
                <w:vertAlign w:val="superscript"/>
              </w:rPr>
              <w:t>2</w:t>
            </w:r>
            <w:r>
              <w:rPr>
                <w:rFonts w:ascii="Times New Roman" w:hAnsi="Times New Roman"/>
                <w:sz w:val="24"/>
              </w:rPr>
              <w:t>.次）</w:t>
            </w:r>
            <w:r>
              <w:rPr>
                <w:rFonts w:hint="eastAsia" w:ascii="Times New Roman" w:hAnsi="Times New Roman"/>
                <w:sz w:val="24"/>
                <w:lang w:eastAsia="zh-CN"/>
              </w:rPr>
              <w:t>，</w:t>
            </w:r>
            <w:r>
              <w:rPr>
                <w:rFonts w:hint="eastAsia" w:hAnsi="宋体"/>
                <w:sz w:val="24"/>
                <w:lang w:val="en-US" w:eastAsia="zh-CN"/>
              </w:rPr>
              <w:t>生产区面积约300m</w:t>
            </w:r>
            <w:r>
              <w:rPr>
                <w:rFonts w:hint="eastAsia" w:hAnsi="宋体"/>
                <w:sz w:val="24"/>
                <w:vertAlign w:val="superscript"/>
                <w:lang w:val="en-US" w:eastAsia="zh-CN"/>
              </w:rPr>
              <w:t>2</w:t>
            </w:r>
            <w:r>
              <w:rPr>
                <w:rFonts w:hint="eastAsia" w:hAnsi="宋体"/>
                <w:sz w:val="24"/>
                <w:lang w:val="en-US" w:eastAsia="zh-CN"/>
              </w:rPr>
              <w:t>，则地面清洗用水量为150t/a，地面清洗用水部分来自纯水系统的浓排水（61.6t/a），采用新鲜水用为88.4t/a。</w:t>
            </w:r>
          </w:p>
          <w:p>
            <w:pPr>
              <w:pStyle w:val="2"/>
              <w:keepNext w:val="0"/>
              <w:keepLines w:val="0"/>
              <w:pageBreakBefore w:val="0"/>
              <w:widowControl w:val="0"/>
              <w:kinsoku/>
              <w:wordWrap/>
              <w:overflowPunct/>
              <w:topLinePunct w:val="0"/>
              <w:autoSpaceDE/>
              <w:autoSpaceDN/>
              <w:bidi w:val="0"/>
              <w:adjustRightInd w:val="0"/>
              <w:snapToGrid w:val="0"/>
              <w:spacing w:after="0" w:afterLines="0" w:line="360" w:lineRule="auto"/>
              <w:ind w:left="0" w:leftChars="0" w:firstLine="480" w:firstLineChars="200"/>
              <w:rPr>
                <w:rFonts w:hint="eastAsia" w:hAnsi="宋体" w:cs="Times New Roman"/>
                <w:kern w:val="2"/>
                <w:sz w:val="24"/>
                <w:szCs w:val="22"/>
                <w:lang w:val="en-US" w:eastAsia="zh-CN" w:bidi="ar-SA"/>
              </w:rPr>
            </w:pPr>
            <w:r>
              <w:rPr>
                <w:rFonts w:hint="eastAsia" w:ascii="Times New Roman" w:hAnsi="宋体" w:eastAsia="宋体" w:cs="Times New Roman"/>
                <w:kern w:val="2"/>
                <w:sz w:val="24"/>
                <w:szCs w:val="22"/>
                <w:lang w:val="en-US" w:eastAsia="zh-CN" w:bidi="ar-SA"/>
              </w:rPr>
              <w:t>冷却系统补充水：</w:t>
            </w:r>
            <w:r>
              <w:rPr>
                <w:rFonts w:hint="eastAsia" w:hAnsi="宋体" w:cs="Times New Roman"/>
                <w:kern w:val="2"/>
                <w:sz w:val="24"/>
                <w:szCs w:val="22"/>
                <w:lang w:val="en-US" w:eastAsia="zh-CN" w:bidi="ar-SA"/>
              </w:rPr>
              <w:t>干燥机由风冷式冷却系统提供冷却水降温，冷却水系统循环过程由于蒸发损失水分，需定期补充纯水，纯水补充量为40t/a。</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lang w:val="en-US" w:eastAsia="zh-CN"/>
              </w:rPr>
            </w:pPr>
            <w:r>
              <w:rPr>
                <w:rFonts w:hint="eastAsia"/>
                <w:sz w:val="24"/>
                <w:szCs w:val="24"/>
                <w:lang w:val="en-US" w:eastAsia="zh-CN"/>
              </w:rPr>
              <w:t>电蒸汽发生器用水：每台干燥提取机蒸汽用量为12kg/h，加热时间平均2h/d，则蒸汽用量为24t/a，蒸汽冷凝水回流至蒸汽发生器循环利用，由于蒸发损失，蒸汽发生器需定期补充纯水，补充量约占蒸汽用量的10%，则补充量为2.4t/a。</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hAnsi="宋体"/>
                <w:sz w:val="24"/>
                <w:lang w:val="en-US" w:eastAsia="zh-CN"/>
              </w:rPr>
            </w:pPr>
            <w:r>
              <w:rPr>
                <w:rFonts w:hint="eastAsia" w:hAnsi="宋体"/>
                <w:sz w:val="24"/>
                <w:lang w:val="en-US" w:eastAsia="zh-CN"/>
              </w:rPr>
              <w:t>纯水系统用水：项目纯水来自于出水能力为1t/h的RO反渗透系统制备，出水率为60%，项目设备清洗、冷却系统补充水、电蒸汽发蒸汽用水均采用纯水，纯水用量为92.4t/a，则纯水系统用水量为154t/a。</w:t>
            </w:r>
          </w:p>
          <w:p>
            <w:pPr>
              <w:adjustRightInd w:val="0"/>
              <w:snapToGrid w:val="0"/>
              <w:spacing w:line="360" w:lineRule="auto"/>
              <w:ind w:firstLine="480" w:firstLineChars="200"/>
              <w:rPr>
                <w:rFonts w:ascii="Times New Roman" w:hAnsi="Times New Roman"/>
                <w:sz w:val="24"/>
              </w:rPr>
            </w:pPr>
            <w:r>
              <w:rPr>
                <w:rFonts w:hint="eastAsia"/>
                <w:sz w:val="24"/>
                <w:szCs w:val="24"/>
                <w:lang w:val="en-US" w:eastAsia="zh-CN"/>
              </w:rPr>
              <w:fldChar w:fldCharType="begin"/>
            </w:r>
            <w:r>
              <w:rPr>
                <w:rFonts w:hint="eastAsia"/>
                <w:sz w:val="24"/>
                <w:szCs w:val="24"/>
                <w:lang w:val="en-US" w:eastAsia="zh-CN"/>
              </w:rPr>
              <w:instrText xml:space="preserve"> = 2 \* GB3 \* MERGEFORMAT </w:instrText>
            </w:r>
            <w:r>
              <w:rPr>
                <w:rFonts w:hint="eastAsia"/>
                <w:sz w:val="24"/>
                <w:szCs w:val="24"/>
                <w:lang w:val="en-US" w:eastAsia="zh-CN"/>
              </w:rPr>
              <w:fldChar w:fldCharType="separate"/>
            </w:r>
            <w:r>
              <w:rPr>
                <w:sz w:val="24"/>
                <w:szCs w:val="24"/>
              </w:rPr>
              <w:t>②</w:t>
            </w:r>
            <w:r>
              <w:rPr>
                <w:rFonts w:hint="eastAsia"/>
                <w:sz w:val="24"/>
                <w:szCs w:val="24"/>
                <w:lang w:val="en-US" w:eastAsia="zh-CN"/>
              </w:rPr>
              <w:fldChar w:fldCharType="end"/>
            </w:r>
            <w:r>
              <w:rPr>
                <w:rFonts w:hint="eastAsia"/>
                <w:sz w:val="24"/>
                <w:szCs w:val="24"/>
                <w:lang w:val="en-US" w:eastAsia="zh-CN"/>
              </w:rPr>
              <w:t>生活用水：</w:t>
            </w:r>
            <w:r>
              <w:rPr>
                <w:rFonts w:ascii="Times New Roman" w:hAnsi="Times New Roman"/>
                <w:sz w:val="24"/>
              </w:rPr>
              <w:t>项目劳动定员</w:t>
            </w:r>
            <w:r>
              <w:rPr>
                <w:rFonts w:hint="eastAsia" w:ascii="Times New Roman" w:hAnsi="Times New Roman"/>
                <w:sz w:val="24"/>
                <w:lang w:val="en-US" w:eastAsia="zh-CN"/>
              </w:rPr>
              <w:t>12</w:t>
            </w:r>
            <w:r>
              <w:rPr>
                <w:rFonts w:ascii="Times New Roman" w:hAnsi="Times New Roman"/>
                <w:sz w:val="24"/>
              </w:rPr>
              <w:t>人，不提供食宿，生活用水量按每人每天0.05t计，则该项目生活用水量为</w:t>
            </w:r>
            <w:r>
              <w:rPr>
                <w:rFonts w:hint="eastAsia" w:ascii="Times New Roman" w:hAnsi="Times New Roman"/>
                <w:sz w:val="24"/>
                <w:lang w:val="en-US" w:eastAsia="zh-CN"/>
              </w:rPr>
              <w:t>0.6</w:t>
            </w:r>
            <w:r>
              <w:rPr>
                <w:rFonts w:ascii="Times New Roman" w:hAnsi="Times New Roman"/>
                <w:sz w:val="24"/>
              </w:rPr>
              <w:t>t/d（</w:t>
            </w:r>
            <w:r>
              <w:rPr>
                <w:rFonts w:hint="eastAsia" w:ascii="Times New Roman" w:hAnsi="Times New Roman"/>
                <w:sz w:val="24"/>
                <w:lang w:val="en-US" w:eastAsia="zh-CN"/>
              </w:rPr>
              <w:t>15</w:t>
            </w:r>
            <w:r>
              <w:rPr>
                <w:rFonts w:ascii="Times New Roman" w:hAnsi="Times New Roman"/>
                <w:sz w:val="24"/>
              </w:rPr>
              <w:t>0t/a）。</w:t>
            </w:r>
          </w:p>
          <w:p>
            <w:pPr>
              <w:pStyle w:val="2"/>
              <w:rPr>
                <w:rFonts w:hint="default" w:ascii="Times New Roman" w:hAnsi="Times New Roman" w:eastAsia="宋体" w:cs="Times New Roman"/>
                <w:kern w:val="2"/>
                <w:sz w:val="24"/>
                <w:szCs w:val="22"/>
                <w:lang w:val="en-US" w:eastAsia="zh-CN" w:bidi="ar-SA"/>
              </w:rPr>
            </w:pPr>
            <w:r>
              <w:rPr>
                <w:rFonts w:hint="eastAsia" w:ascii="Times New Roman" w:hAnsi="Times New Roman" w:eastAsia="宋体" w:cs="Times New Roman"/>
                <w:kern w:val="2"/>
                <w:sz w:val="24"/>
                <w:szCs w:val="22"/>
                <w:lang w:val="en-US" w:eastAsia="zh-CN" w:bidi="ar-SA"/>
              </w:rPr>
              <w:t>综上所述，项目新鲜水用量为</w:t>
            </w:r>
            <w:r>
              <w:rPr>
                <w:rFonts w:hint="eastAsia" w:cs="Times New Roman"/>
                <w:kern w:val="2"/>
                <w:sz w:val="24"/>
                <w:szCs w:val="22"/>
                <w:lang w:val="en-US" w:eastAsia="zh-CN" w:bidi="ar-SA"/>
              </w:rPr>
              <w:t>417.4t/a，纯水用量为92.4t/a。</w:t>
            </w:r>
          </w:p>
          <w:p>
            <w:pPr>
              <w:pStyle w:val="2"/>
              <w:rPr>
                <w:rFonts w:hint="default" w:eastAsia="宋体"/>
                <w:sz w:val="24"/>
                <w:szCs w:val="24"/>
                <w:lang w:val="en-US" w:eastAsia="zh-CN"/>
              </w:rPr>
            </w:pPr>
            <w:r>
              <w:rPr>
                <w:rFonts w:hint="eastAsia"/>
                <w:sz w:val="24"/>
                <w:szCs w:val="24"/>
                <w:lang w:val="en-US" w:eastAsia="zh-CN"/>
              </w:rPr>
              <w:t>2）排水情况</w:t>
            </w:r>
          </w:p>
          <w:p>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default" w:hAnsi="宋体" w:eastAsia="宋体"/>
                <w:sz w:val="24"/>
                <w:szCs w:val="24"/>
                <w:lang w:val="en-US" w:eastAsia="zh-CN"/>
              </w:rPr>
            </w:pPr>
            <w:r>
              <w:rPr>
                <w:rFonts w:hint="eastAsia" w:hAnsi="宋体"/>
                <w:sz w:val="24"/>
                <w:szCs w:val="24"/>
                <w:lang w:val="en-US" w:eastAsia="zh-CN"/>
              </w:rPr>
              <w:t>项目废水包括原料清洗、设备清洗用水、地面清洗废水，纯水系统浓排水及生活污水。冷却水系统、电蒸汽发生器运行过程不产生污水。</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hAnsi="宋体"/>
                <w:sz w:val="24"/>
                <w:lang w:val="en-US" w:eastAsia="zh-CN"/>
              </w:rPr>
            </w:pPr>
            <w:r>
              <w:rPr>
                <w:rFonts w:hint="eastAsia" w:hAnsi="宋体"/>
                <w:sz w:val="24"/>
                <w:lang w:val="en-US" w:eastAsia="zh-CN"/>
              </w:rPr>
              <w:t>原料清洗、设备清洗、地面清洗废水产生量按照用水量的90%计算，则清洗废水量为202.5t/a。</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hAnsi="宋体"/>
                <w:sz w:val="24"/>
                <w:szCs w:val="24"/>
                <w:lang w:val="en-US" w:eastAsia="zh-CN"/>
              </w:rPr>
            </w:pPr>
            <w:r>
              <w:rPr>
                <w:rFonts w:hint="eastAsia" w:hAnsi="宋体"/>
                <w:sz w:val="24"/>
                <w:szCs w:val="24"/>
                <w:lang w:val="en-US" w:eastAsia="zh-CN"/>
              </w:rPr>
              <w:t>纯水系统浓排水：根据上述用水量分析，浓排水产生量为61.6t/a，用于车间地面清洗。</w:t>
            </w:r>
          </w:p>
          <w:p>
            <w:pPr>
              <w:pStyle w:val="2"/>
              <w:keepNext w:val="0"/>
              <w:keepLines w:val="0"/>
              <w:pageBreakBefore w:val="0"/>
              <w:numPr>
                <w:ilvl w:val="0"/>
                <w:numId w:val="0"/>
              </w:numPr>
              <w:kinsoku/>
              <w:wordWrap/>
              <w:overflowPunct/>
              <w:topLinePunct w:val="0"/>
              <w:autoSpaceDE/>
              <w:autoSpaceDN/>
              <w:bidi w:val="0"/>
              <w:adjustRightInd w:val="0"/>
              <w:snapToGrid w:val="0"/>
              <w:spacing w:after="0" w:line="360" w:lineRule="auto"/>
              <w:ind w:leftChars="0" w:firstLine="480" w:firstLineChars="200"/>
              <w:textAlignment w:val="auto"/>
              <w:rPr>
                <w:rFonts w:hint="default" w:ascii="Times New Roman" w:hAnsi="Times New Roman" w:cs="Times New Roman"/>
                <w:lang w:val="en-US" w:eastAsia="zh-CN"/>
              </w:rPr>
            </w:pPr>
            <w:r>
              <w:rPr>
                <w:rFonts w:hint="eastAsia" w:hAnsi="宋体"/>
                <w:sz w:val="24"/>
                <w:lang w:val="en-US" w:eastAsia="zh-CN"/>
              </w:rPr>
              <w:t>生活污水：</w:t>
            </w:r>
            <w:r>
              <w:rPr>
                <w:rFonts w:hint="default" w:ascii="Times New Roman" w:hAnsi="Times New Roman" w:cs="Times New Roman"/>
                <w:bCs w:val="0"/>
                <w:color w:val="auto"/>
                <w:kern w:val="0"/>
                <w:sz w:val="24"/>
                <w:szCs w:val="22"/>
                <w:highlight w:val="none"/>
                <w:lang w:val="en-US" w:eastAsia="zh-CN" w:bidi="ar-SA"/>
              </w:rPr>
              <w:t>生活污水按照用水量的85%计算，生活用水量为</w:t>
            </w:r>
            <w:r>
              <w:rPr>
                <w:rFonts w:hint="eastAsia" w:cs="Times New Roman"/>
                <w:bCs w:val="0"/>
                <w:color w:val="auto"/>
                <w:kern w:val="0"/>
                <w:sz w:val="24"/>
                <w:szCs w:val="22"/>
                <w:highlight w:val="none"/>
                <w:lang w:val="en-US" w:eastAsia="zh-CN" w:bidi="ar-SA"/>
              </w:rPr>
              <w:t>15</w:t>
            </w:r>
            <w:r>
              <w:rPr>
                <w:rFonts w:hint="default" w:ascii="Times New Roman" w:hAnsi="Times New Roman" w:cs="Times New Roman"/>
                <w:bCs w:val="0"/>
                <w:color w:val="auto"/>
                <w:kern w:val="0"/>
                <w:sz w:val="24"/>
                <w:szCs w:val="22"/>
                <w:highlight w:val="none"/>
                <w:lang w:val="en-US" w:eastAsia="zh-CN" w:bidi="ar-SA"/>
              </w:rPr>
              <w:t>0t/a，则生活污水产生量为</w:t>
            </w:r>
            <w:r>
              <w:rPr>
                <w:rFonts w:hint="eastAsia" w:cs="Times New Roman"/>
                <w:bCs w:val="0"/>
                <w:color w:val="auto"/>
                <w:kern w:val="0"/>
                <w:sz w:val="24"/>
                <w:szCs w:val="22"/>
                <w:highlight w:val="none"/>
                <w:lang w:val="en-US" w:eastAsia="zh-CN" w:bidi="ar-SA"/>
              </w:rPr>
              <w:t>128</w:t>
            </w:r>
            <w:r>
              <w:rPr>
                <w:rFonts w:hint="default" w:ascii="Times New Roman" w:hAnsi="Times New Roman" w:cs="Times New Roman"/>
                <w:bCs w:val="0"/>
                <w:color w:val="auto"/>
                <w:kern w:val="0"/>
                <w:sz w:val="24"/>
                <w:szCs w:val="22"/>
                <w:highlight w:val="none"/>
                <w:lang w:val="en-US" w:eastAsia="zh-CN" w:bidi="ar-SA"/>
              </w:rPr>
              <w:t>t/a，经</w:t>
            </w:r>
            <w:r>
              <w:rPr>
                <w:rFonts w:hint="eastAsia" w:cs="Times New Roman"/>
                <w:bCs w:val="0"/>
                <w:color w:val="auto"/>
                <w:kern w:val="0"/>
                <w:sz w:val="24"/>
                <w:szCs w:val="22"/>
                <w:highlight w:val="none"/>
                <w:lang w:val="en-US" w:eastAsia="zh-CN" w:bidi="ar-SA"/>
              </w:rPr>
              <w:t>厂区</w:t>
            </w:r>
            <w:r>
              <w:rPr>
                <w:rFonts w:hint="default" w:ascii="Times New Roman" w:hAnsi="Times New Roman" w:cs="Times New Roman"/>
                <w:bCs w:val="0"/>
                <w:color w:val="auto"/>
                <w:kern w:val="0"/>
                <w:sz w:val="24"/>
                <w:szCs w:val="22"/>
                <w:highlight w:val="none"/>
                <w:lang w:val="en-US" w:eastAsia="zh-CN" w:bidi="ar-SA"/>
              </w:rPr>
              <w:t>化粪池预处理后，排入市政污水管网。</w:t>
            </w:r>
          </w:p>
          <w:p>
            <w:pPr>
              <w:keepNext w:val="0"/>
              <w:keepLines w:val="0"/>
              <w:pageBreakBefore w:val="0"/>
              <w:kinsoku/>
              <w:wordWrap/>
              <w:overflowPunct/>
              <w:topLinePunct w:val="0"/>
              <w:autoSpaceDE/>
              <w:autoSpaceDN/>
              <w:bidi w:val="0"/>
              <w:adjustRightInd w:val="0"/>
              <w:snapToGrid w:val="0"/>
              <w:spacing w:beforeAutospacing="0" w:afterAutospacing="0" w:line="360" w:lineRule="auto"/>
              <w:ind w:leftChars="0" w:firstLine="480" w:firstLineChars="200"/>
              <w:textAlignment w:val="auto"/>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综上所述，</w:t>
            </w:r>
            <w:r>
              <w:rPr>
                <w:rFonts w:hint="default" w:ascii="Times New Roman" w:hAnsi="Times New Roman" w:cs="Times New Roman"/>
                <w:color w:val="auto"/>
                <w:sz w:val="24"/>
                <w:highlight w:val="none"/>
                <w:lang w:val="en-US" w:eastAsia="zh-CN"/>
              </w:rPr>
              <w:t>项目废水</w:t>
            </w:r>
            <w:r>
              <w:rPr>
                <w:rFonts w:hint="eastAsia" w:ascii="Times New Roman" w:hAnsi="Times New Roman" w:cs="Times New Roman"/>
                <w:color w:val="auto"/>
                <w:sz w:val="24"/>
                <w:highlight w:val="none"/>
                <w:lang w:val="en-US" w:eastAsia="zh-CN"/>
              </w:rPr>
              <w:t>产生</w:t>
            </w:r>
            <w:r>
              <w:rPr>
                <w:rFonts w:hint="default" w:ascii="Times New Roman" w:hAnsi="Times New Roman" w:cs="Times New Roman"/>
                <w:color w:val="auto"/>
                <w:sz w:val="24"/>
                <w:highlight w:val="none"/>
                <w:lang w:val="en-US" w:eastAsia="zh-CN"/>
              </w:rPr>
              <w:t>量为</w:t>
            </w:r>
            <w:r>
              <w:rPr>
                <w:rFonts w:hint="eastAsia" w:cs="Times New Roman"/>
                <w:color w:val="auto"/>
                <w:sz w:val="24"/>
                <w:highlight w:val="none"/>
                <w:lang w:val="en-US" w:eastAsia="zh-CN"/>
              </w:rPr>
              <w:t>392.1</w:t>
            </w:r>
            <w:r>
              <w:rPr>
                <w:rFonts w:hint="default" w:ascii="Times New Roman" w:hAnsi="Times New Roman" w:cs="Times New Roman"/>
                <w:color w:val="auto"/>
                <w:sz w:val="24"/>
                <w:highlight w:val="none"/>
                <w:lang w:val="en-US" w:eastAsia="zh-CN"/>
              </w:rPr>
              <w:t>t/a，其中</w:t>
            </w:r>
            <w:r>
              <w:rPr>
                <w:rFonts w:hint="default" w:ascii="Times New Roman" w:hAnsi="Times New Roman" w:cs="Times New Roman"/>
                <w:color w:val="auto"/>
                <w:sz w:val="24"/>
                <w:highlight w:val="none"/>
              </w:rPr>
              <w:t>生产废水</w:t>
            </w:r>
            <w:r>
              <w:rPr>
                <w:rFonts w:hint="eastAsia" w:ascii="Times New Roman" w:hAnsi="Times New Roman" w:cs="Times New Roman"/>
                <w:color w:val="auto"/>
                <w:sz w:val="24"/>
                <w:highlight w:val="none"/>
                <w:lang w:val="en-US" w:eastAsia="zh-CN"/>
              </w:rPr>
              <w:t>产生</w:t>
            </w:r>
            <w:r>
              <w:rPr>
                <w:rFonts w:hint="default" w:ascii="Times New Roman" w:hAnsi="Times New Roman" w:cs="Times New Roman"/>
                <w:color w:val="auto"/>
                <w:sz w:val="24"/>
                <w:highlight w:val="none"/>
              </w:rPr>
              <w:t>量约</w:t>
            </w:r>
            <w:r>
              <w:rPr>
                <w:rFonts w:hint="eastAsia" w:cs="Times New Roman"/>
                <w:color w:val="auto"/>
                <w:sz w:val="24"/>
                <w:highlight w:val="none"/>
                <w:lang w:val="en-US" w:eastAsia="zh-CN"/>
              </w:rPr>
              <w:t>264.1</w:t>
            </w:r>
            <w:r>
              <w:rPr>
                <w:rFonts w:hint="default" w:ascii="Times New Roman" w:hAnsi="Times New Roman" w:cs="Times New Roman"/>
                <w:color w:val="auto"/>
                <w:sz w:val="24"/>
                <w:highlight w:val="none"/>
              </w:rPr>
              <w:t>t/a</w:t>
            </w:r>
            <w:r>
              <w:rPr>
                <w:rFonts w:hint="eastAsia" w:cs="Times New Roman"/>
                <w:color w:val="auto"/>
                <w:sz w:val="24"/>
                <w:highlight w:val="none"/>
                <w:lang w:eastAsia="zh-CN"/>
              </w:rPr>
              <w:t>（</w:t>
            </w:r>
            <w:r>
              <w:rPr>
                <w:rFonts w:hint="eastAsia" w:cs="Times New Roman"/>
                <w:color w:val="auto"/>
                <w:sz w:val="24"/>
                <w:highlight w:val="none"/>
                <w:lang w:val="en-US" w:eastAsia="zh-CN"/>
              </w:rPr>
              <w:t>61.6t/a浓排水回用</w:t>
            </w:r>
            <w:r>
              <w:rPr>
                <w:rFonts w:hint="eastAsia" w:cs="Times New Roman"/>
                <w:color w:val="auto"/>
                <w:sz w:val="24"/>
                <w:highlight w:val="none"/>
                <w:lang w:eastAsia="zh-CN"/>
              </w:rPr>
              <w:t>）</w:t>
            </w:r>
            <w:r>
              <w:rPr>
                <w:rFonts w:hint="default" w:ascii="Times New Roman" w:hAnsi="Times New Roman" w:cs="Times New Roman"/>
                <w:color w:val="auto"/>
                <w:sz w:val="24"/>
                <w:highlight w:val="none"/>
                <w:lang w:eastAsia="zh-CN"/>
              </w:rPr>
              <w:t>，</w:t>
            </w:r>
            <w:r>
              <w:rPr>
                <w:rFonts w:hint="eastAsia" w:cs="Times New Roman"/>
                <w:color w:val="auto"/>
                <w:sz w:val="24"/>
                <w:highlight w:val="none"/>
                <w:lang w:val="en-US" w:eastAsia="zh-CN"/>
              </w:rPr>
              <w:t>有202.5t/a的</w:t>
            </w:r>
            <w:r>
              <w:rPr>
                <w:rFonts w:hint="default" w:ascii="Times New Roman" w:hAnsi="Times New Roman" w:cs="Times New Roman"/>
                <w:color w:val="auto"/>
                <w:sz w:val="24"/>
                <w:highlight w:val="none"/>
                <w:lang w:val="en-US" w:eastAsia="zh-CN"/>
              </w:rPr>
              <w:t>生产废水</w:t>
            </w:r>
            <w:r>
              <w:rPr>
                <w:rFonts w:hint="eastAsia" w:ascii="Times New Roman" w:hAnsi="Times New Roman" w:cs="Times New Roman"/>
                <w:color w:val="auto"/>
                <w:sz w:val="24"/>
                <w:highlight w:val="none"/>
                <w:lang w:val="en-US" w:eastAsia="zh-CN"/>
              </w:rPr>
              <w:t>排入车间污水处理设备处理后，</w:t>
            </w:r>
            <w:r>
              <w:rPr>
                <w:rFonts w:hint="default" w:ascii="Times New Roman" w:hAnsi="Times New Roman" w:cs="Times New Roman"/>
                <w:color w:val="auto"/>
                <w:sz w:val="24"/>
                <w:highlight w:val="none"/>
                <w:lang w:val="en-US" w:eastAsia="zh-CN"/>
              </w:rPr>
              <w:t>与生活污水</w:t>
            </w:r>
            <w:r>
              <w:rPr>
                <w:rFonts w:hint="eastAsia" w:cs="Times New Roman"/>
                <w:color w:val="auto"/>
                <w:sz w:val="24"/>
                <w:highlight w:val="none"/>
                <w:lang w:val="en-US" w:eastAsia="zh-CN"/>
              </w:rPr>
              <w:t>（128</w:t>
            </w:r>
            <w:r>
              <w:rPr>
                <w:rFonts w:hint="default" w:ascii="Times New Roman" w:hAnsi="Times New Roman" w:cs="Times New Roman"/>
                <w:color w:val="auto"/>
                <w:sz w:val="24"/>
                <w:highlight w:val="none"/>
                <w:lang w:val="en-US" w:eastAsia="zh-CN"/>
              </w:rPr>
              <w:t>t/a</w:t>
            </w:r>
            <w:r>
              <w:rPr>
                <w:rFonts w:hint="eastAsia" w:cs="Times New Roman"/>
                <w:color w:val="auto"/>
                <w:sz w:val="24"/>
                <w:highlight w:val="none"/>
                <w:lang w:val="en-US" w:eastAsia="zh-CN"/>
              </w:rPr>
              <w:t>）</w:t>
            </w:r>
            <w:r>
              <w:rPr>
                <w:rFonts w:hint="default" w:ascii="Times New Roman" w:hAnsi="Times New Roman" w:cs="Times New Roman"/>
                <w:color w:val="auto"/>
                <w:sz w:val="24"/>
                <w:highlight w:val="none"/>
                <w:lang w:val="en-US" w:eastAsia="zh-CN"/>
              </w:rPr>
              <w:t>一同经市政</w:t>
            </w:r>
            <w:r>
              <w:rPr>
                <w:rFonts w:hint="default" w:ascii="Times New Roman" w:hAnsi="Times New Roman" w:cs="Times New Roman"/>
                <w:bCs w:val="0"/>
                <w:color w:val="auto"/>
                <w:kern w:val="0"/>
                <w:sz w:val="24"/>
                <w:szCs w:val="22"/>
                <w:highlight w:val="none"/>
                <w:lang w:val="en-US" w:eastAsia="zh-CN" w:bidi="ar-SA"/>
              </w:rPr>
              <w:t>污水管网排至青岛海清环保科技有限公司污水处理厂进一步处理</w:t>
            </w:r>
            <w:r>
              <w:rPr>
                <w:rFonts w:hint="default" w:ascii="Times New Roman" w:hAnsi="Times New Roman" w:cs="Times New Roman"/>
                <w:color w:val="auto"/>
                <w:sz w:val="24"/>
                <w:highlight w:val="none"/>
              </w:rPr>
              <w:t>。</w:t>
            </w: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firstLine="480" w:firstLineChars="200"/>
              <w:textAlignment w:val="auto"/>
              <w:rPr>
                <w:rFonts w:hint="default" w:ascii="Times New Roman" w:hAnsi="Times New Roman" w:eastAsia="宋体" w:cs="Times New Roman"/>
                <w:b w:val="0"/>
                <w:bCs/>
                <w:strike w:val="0"/>
                <w:dstrike w:val="0"/>
                <w:kern w:val="0"/>
                <w:sz w:val="24"/>
                <w:szCs w:val="24"/>
                <w:lang w:val="en-US" w:eastAsia="zh-CN" w:bidi="ar-SA"/>
              </w:rPr>
            </w:pPr>
            <w:r>
              <w:rPr>
                <w:rFonts w:hint="default" w:ascii="Times New Roman" w:hAnsi="Times New Roman" w:eastAsia="宋体" w:cs="Times New Roman"/>
                <w:b w:val="0"/>
                <w:bCs/>
                <w:strike w:val="0"/>
                <w:dstrike w:val="0"/>
                <w:kern w:val="0"/>
                <w:sz w:val="24"/>
                <w:szCs w:val="24"/>
                <w:lang w:val="en-US" w:eastAsia="zh-CN" w:bidi="ar-SA"/>
              </w:rPr>
              <w:t>项目水平衡图见图2。</w:t>
            </w:r>
          </w:p>
          <w:p>
            <w:pPr>
              <w:pStyle w:val="2"/>
              <w:keepNext w:val="0"/>
              <w:keepLines w:val="0"/>
              <w:pageBreakBefore w:val="0"/>
              <w:widowControl w:val="0"/>
              <w:kinsoku/>
              <w:wordWrap/>
              <w:overflowPunct/>
              <w:topLinePunct w:val="0"/>
              <w:autoSpaceDE/>
              <w:autoSpaceDN/>
              <w:bidi w:val="0"/>
              <w:adjustRightInd w:val="0"/>
              <w:snapToGrid/>
              <w:spacing w:after="0" w:line="360" w:lineRule="auto"/>
              <w:ind w:left="0" w:leftChars="0" w:firstLine="0"/>
              <w:jc w:val="center"/>
              <w:textAlignment w:val="baseline"/>
              <w:rPr>
                <w:rFonts w:hint="default"/>
                <w:lang w:val="en-US" w:eastAsia="zh-CN"/>
              </w:rPr>
            </w:pPr>
            <w:r>
              <w:rPr>
                <w:rFonts w:hint="eastAsia" w:hAnsi="宋体"/>
                <w:sz w:val="24"/>
                <w:lang w:val="en-US" w:eastAsia="zh-CN"/>
              </w:rPr>
              <w:object>
                <v:shape id="_x0000_i1026" o:spt="75" type="#_x0000_t75" style="height:235.25pt;width:405.6pt;" o:ole="t" filled="f" o:preferrelative="t" stroked="f" coordsize="21600,21600">
                  <v:path/>
                  <v:fill on="f" focussize="0,0"/>
                  <v:stroke on="f"/>
                  <v:imagedata r:id="rId11" o:title=""/>
                  <o:lock v:ext="edit" aspectratio="f"/>
                  <w10:wrap type="none"/>
                  <w10:anchorlock/>
                </v:shape>
                <o:OLEObject Type="Embed" ProgID="Visio.Drawing.11" ShapeID="_x0000_i1026" DrawAspect="Content" ObjectID="_1468075726" r:id="rId10">
                  <o:LockedField>false</o:LockedField>
                </o:OLEObject>
              </w:object>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Times New Roman" w:hAnsi="Times New Roman" w:eastAsia="黑体" w:cs="Times New Roman"/>
                <w:sz w:val="21"/>
                <w:szCs w:val="21"/>
                <w:lang w:val="en-US" w:eastAsia="zh-CN"/>
              </w:rPr>
            </w:pPr>
            <w:r>
              <w:rPr>
                <w:rFonts w:hint="default" w:ascii="Times New Roman" w:hAnsi="Times New Roman" w:eastAsia="黑体" w:cs="Times New Roman"/>
                <w:sz w:val="21"/>
                <w:szCs w:val="21"/>
                <w:lang w:val="en-US" w:eastAsia="zh-CN"/>
              </w:rPr>
              <w:t>图2 项目水平衡图（单位：t/a）</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hAnsi="宋体" w:eastAsia="宋体"/>
                <w:color w:val="auto"/>
                <w:sz w:val="24"/>
                <w:lang w:val="en-US" w:eastAsia="zh-CN"/>
              </w:rPr>
            </w:pPr>
            <w:r>
              <w:rPr>
                <w:rFonts w:hint="eastAsia" w:hAnsi="宋体"/>
                <w:color w:val="auto"/>
                <w:sz w:val="24"/>
                <w:lang w:eastAsia="zh-CN"/>
              </w:rPr>
              <w:t>（</w:t>
            </w:r>
            <w:r>
              <w:rPr>
                <w:rFonts w:hint="eastAsia" w:hAnsi="宋体"/>
                <w:color w:val="auto"/>
                <w:sz w:val="24"/>
                <w:lang w:val="en-US" w:eastAsia="zh-CN"/>
              </w:rPr>
              <w:t>2</w:t>
            </w:r>
            <w:r>
              <w:rPr>
                <w:rFonts w:hint="eastAsia" w:hAnsi="宋体"/>
                <w:color w:val="auto"/>
                <w:sz w:val="24"/>
                <w:lang w:eastAsia="zh-CN"/>
              </w:rPr>
              <w:t>）</w:t>
            </w:r>
            <w:r>
              <w:rPr>
                <w:rFonts w:hint="eastAsia" w:hAnsi="宋体"/>
                <w:color w:val="auto"/>
                <w:sz w:val="24"/>
                <w:lang w:val="en-US" w:eastAsia="zh-CN"/>
              </w:rPr>
              <w:t>废水源强分析</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hAnsi="宋体"/>
                <w:color w:val="auto"/>
                <w:sz w:val="24"/>
                <w:lang w:val="en-US" w:eastAsia="zh-CN"/>
              </w:rPr>
            </w:pPr>
            <w:r>
              <w:rPr>
                <w:rFonts w:hint="eastAsia" w:hAnsi="宋体"/>
                <w:color w:val="auto"/>
                <w:sz w:val="24"/>
                <w:lang w:val="en-US" w:eastAsia="zh-CN"/>
              </w:rPr>
              <w:t>项目原料清洗过程不添加清洗剂，废水主要含泥沙、悬浮物。原料清洗废水源强类比《郎溪上野忠食品加工有限公司新增生产品种技改项目环评报告表》（2017年，主要生产樱花等植物花叶制品，类比可行），原料清洗废水污染物浓度分别为COD</w:t>
            </w:r>
            <w:r>
              <w:rPr>
                <w:rFonts w:hint="eastAsia" w:hAnsi="宋体"/>
                <w:color w:val="auto"/>
                <w:sz w:val="24"/>
                <w:vertAlign w:val="subscript"/>
                <w:lang w:val="en-US" w:eastAsia="zh-CN"/>
              </w:rPr>
              <w:t>Cr</w:t>
            </w:r>
            <w:r>
              <w:rPr>
                <w:rFonts w:hint="eastAsia" w:hAnsi="宋体"/>
                <w:color w:val="auto"/>
                <w:sz w:val="24"/>
                <w:lang w:val="en-US" w:eastAsia="zh-CN"/>
              </w:rPr>
              <w:t>：300mg/L、BOD</w:t>
            </w:r>
            <w:r>
              <w:rPr>
                <w:rFonts w:hint="eastAsia" w:hAnsi="宋体"/>
                <w:color w:val="auto"/>
                <w:sz w:val="24"/>
                <w:vertAlign w:val="subscript"/>
                <w:lang w:val="en-US" w:eastAsia="zh-CN"/>
              </w:rPr>
              <w:t>5</w:t>
            </w:r>
            <w:r>
              <w:rPr>
                <w:rFonts w:hint="eastAsia" w:hAnsi="宋体"/>
                <w:color w:val="auto"/>
                <w:sz w:val="24"/>
                <w:lang w:val="en-US" w:eastAsia="zh-CN"/>
              </w:rPr>
              <w:t>：200mg/L、SS：300mg/L、氨氮：25mg/L。</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hAnsi="宋体"/>
                <w:color w:val="auto"/>
                <w:sz w:val="24"/>
                <w:lang w:val="en-US" w:eastAsia="zh-CN"/>
              </w:rPr>
            </w:pPr>
            <w:r>
              <w:rPr>
                <w:rFonts w:hint="eastAsia" w:cs="Times New Roman"/>
                <w:color w:val="auto"/>
                <w:sz w:val="24"/>
                <w:szCs w:val="24"/>
                <w:lang w:val="en-US" w:eastAsia="zh-CN"/>
              </w:rPr>
              <w:t>设备清洗废水主要包括残余产品、原料残渣，其源强类比</w:t>
            </w:r>
            <w:r>
              <w:rPr>
                <w:rFonts w:hint="eastAsia" w:hAnsi="宋体"/>
                <w:color w:val="auto"/>
                <w:sz w:val="24"/>
                <w:lang w:val="en-US" w:eastAsia="zh-CN"/>
              </w:rPr>
              <w:t>《郎溪上野忠食品加工有限公司新增生产品种技改项目环评报告表》，设备清洗废水污染物浓度分别为COD</w:t>
            </w:r>
            <w:r>
              <w:rPr>
                <w:rFonts w:hint="eastAsia" w:hAnsi="宋体"/>
                <w:color w:val="auto"/>
                <w:sz w:val="24"/>
                <w:vertAlign w:val="subscript"/>
                <w:lang w:val="en-US" w:eastAsia="zh-CN"/>
              </w:rPr>
              <w:t>Cr</w:t>
            </w:r>
            <w:r>
              <w:rPr>
                <w:rFonts w:hint="eastAsia" w:hAnsi="宋体"/>
                <w:color w:val="auto"/>
                <w:sz w:val="24"/>
                <w:lang w:val="en-US" w:eastAsia="zh-CN"/>
              </w:rPr>
              <w:t>：1146mg/L、BOD</w:t>
            </w:r>
            <w:r>
              <w:rPr>
                <w:rFonts w:hint="eastAsia" w:hAnsi="宋体"/>
                <w:color w:val="auto"/>
                <w:sz w:val="24"/>
                <w:vertAlign w:val="subscript"/>
                <w:lang w:val="en-US" w:eastAsia="zh-CN"/>
              </w:rPr>
              <w:t>5</w:t>
            </w:r>
            <w:r>
              <w:rPr>
                <w:rFonts w:hint="eastAsia" w:hAnsi="宋体"/>
                <w:color w:val="auto"/>
                <w:sz w:val="24"/>
                <w:lang w:val="en-US" w:eastAsia="zh-CN"/>
              </w:rPr>
              <w:t>：350mg/L、SS：110mg/L、氨氮：35mg/L。</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hAnsi="宋体"/>
                <w:color w:val="auto"/>
                <w:sz w:val="24"/>
                <w:lang w:val="en-US" w:eastAsia="zh-CN"/>
              </w:rPr>
            </w:pPr>
            <w:r>
              <w:rPr>
                <w:rFonts w:hint="eastAsia" w:cs="Times New Roman"/>
                <w:color w:val="auto"/>
                <w:sz w:val="24"/>
                <w:szCs w:val="24"/>
                <w:lang w:val="en-US" w:eastAsia="zh-CN"/>
              </w:rPr>
              <w:t>车间清洗废水主要为COD、SS，类比同类项目，车间清洗废水源强</w:t>
            </w:r>
            <w:r>
              <w:rPr>
                <w:rFonts w:hint="eastAsia" w:hAnsi="宋体"/>
                <w:color w:val="auto"/>
                <w:sz w:val="24"/>
                <w:lang w:val="en-US" w:eastAsia="zh-CN"/>
              </w:rPr>
              <w:t>分别为COD</w:t>
            </w:r>
            <w:r>
              <w:rPr>
                <w:rFonts w:hint="eastAsia" w:hAnsi="宋体"/>
                <w:color w:val="auto"/>
                <w:sz w:val="24"/>
                <w:vertAlign w:val="subscript"/>
                <w:lang w:val="en-US" w:eastAsia="zh-CN"/>
              </w:rPr>
              <w:t>Cr</w:t>
            </w:r>
            <w:r>
              <w:rPr>
                <w:rFonts w:hint="eastAsia" w:hAnsi="宋体"/>
                <w:color w:val="auto"/>
                <w:sz w:val="24"/>
                <w:lang w:val="en-US" w:eastAsia="zh-CN"/>
              </w:rPr>
              <w:t>：450mg/L、SS：800mg/L。</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hAnsi="宋体"/>
                <w:color w:val="auto"/>
                <w:sz w:val="24"/>
                <w:szCs w:val="22"/>
                <w:lang w:val="en-US" w:eastAsia="zh-CN"/>
              </w:rPr>
            </w:pPr>
            <w:r>
              <w:rPr>
                <w:rFonts w:hint="eastAsia" w:cs="Times New Roman"/>
                <w:color w:val="auto"/>
                <w:sz w:val="24"/>
                <w:szCs w:val="24"/>
                <w:lang w:val="en-US" w:eastAsia="zh-CN"/>
              </w:rPr>
              <w:t>纯</w:t>
            </w:r>
            <w:r>
              <w:rPr>
                <w:rFonts w:hint="eastAsia" w:hAnsi="宋体"/>
                <w:color w:val="auto"/>
                <w:sz w:val="24"/>
                <w:szCs w:val="22"/>
                <w:lang w:val="en-US" w:eastAsia="zh-CN"/>
              </w:rPr>
              <w:t>水系统浓排水主要污染物为COD</w:t>
            </w:r>
            <w:r>
              <w:rPr>
                <w:rFonts w:hint="eastAsia" w:hAnsi="宋体"/>
                <w:color w:val="auto"/>
                <w:sz w:val="24"/>
                <w:szCs w:val="22"/>
                <w:vertAlign w:val="subscript"/>
                <w:lang w:val="en-US" w:eastAsia="zh-CN"/>
              </w:rPr>
              <w:t>Cr</w:t>
            </w:r>
            <w:r>
              <w:rPr>
                <w:rFonts w:hint="eastAsia" w:hAnsi="宋体"/>
                <w:color w:val="auto"/>
                <w:sz w:val="24"/>
                <w:szCs w:val="22"/>
                <w:lang w:val="en-US" w:eastAsia="zh-CN"/>
              </w:rPr>
              <w:t>、SS、盐分，类比同类项目，污染物浓度分别为CODcr：25mg/L，SS：50mg/L。</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hAnsi="宋体"/>
                <w:color w:val="auto"/>
                <w:sz w:val="24"/>
                <w:szCs w:val="22"/>
                <w:lang w:val="en-US" w:eastAsia="zh-CN"/>
              </w:rPr>
            </w:pPr>
            <w:r>
              <w:rPr>
                <w:rFonts w:hint="eastAsia" w:hAnsi="宋体"/>
                <w:color w:val="auto"/>
                <w:sz w:val="24"/>
                <w:szCs w:val="22"/>
                <w:lang w:val="en-US" w:eastAsia="zh-CN"/>
              </w:rPr>
              <w:t>生活污水</w:t>
            </w:r>
            <w:r>
              <w:rPr>
                <w:rFonts w:hint="default" w:hAnsi="宋体"/>
                <w:color w:val="auto"/>
                <w:sz w:val="24"/>
                <w:szCs w:val="22"/>
                <w:lang w:val="en-US" w:eastAsia="zh-CN"/>
              </w:rPr>
              <w:t>产生的污染物及其浓度分别为COD</w:t>
            </w:r>
            <w:r>
              <w:rPr>
                <w:rFonts w:hint="default" w:hAnsi="宋体"/>
                <w:color w:val="auto"/>
                <w:sz w:val="24"/>
                <w:szCs w:val="22"/>
                <w:vertAlign w:val="subscript"/>
                <w:lang w:val="en-US" w:eastAsia="zh-CN"/>
              </w:rPr>
              <w:t>Cr</w:t>
            </w:r>
            <w:r>
              <w:rPr>
                <w:rFonts w:hint="eastAsia" w:hAnsi="宋体"/>
                <w:color w:val="auto"/>
                <w:sz w:val="24"/>
                <w:szCs w:val="22"/>
                <w:lang w:val="en-US" w:eastAsia="zh-CN"/>
              </w:rPr>
              <w:t>：</w:t>
            </w:r>
            <w:r>
              <w:rPr>
                <w:rFonts w:hint="default" w:hAnsi="宋体"/>
                <w:color w:val="auto"/>
                <w:sz w:val="24"/>
                <w:szCs w:val="22"/>
                <w:lang w:val="en-US" w:eastAsia="zh-CN"/>
              </w:rPr>
              <w:t>450mg/L、BOD</w:t>
            </w:r>
            <w:r>
              <w:rPr>
                <w:rFonts w:hint="default" w:hAnsi="宋体"/>
                <w:color w:val="auto"/>
                <w:sz w:val="24"/>
                <w:szCs w:val="22"/>
                <w:vertAlign w:val="subscript"/>
                <w:lang w:val="en-US" w:eastAsia="zh-CN"/>
              </w:rPr>
              <w:t>5</w:t>
            </w:r>
            <w:r>
              <w:rPr>
                <w:rFonts w:hint="eastAsia" w:hAnsi="宋体"/>
                <w:color w:val="auto"/>
                <w:sz w:val="24"/>
                <w:szCs w:val="22"/>
                <w:lang w:val="en-US" w:eastAsia="zh-CN"/>
              </w:rPr>
              <w:t>：</w:t>
            </w:r>
            <w:r>
              <w:rPr>
                <w:rFonts w:hint="default" w:hAnsi="宋体"/>
                <w:color w:val="auto"/>
                <w:sz w:val="24"/>
                <w:szCs w:val="22"/>
                <w:lang w:val="en-US" w:eastAsia="zh-CN"/>
              </w:rPr>
              <w:t>250mg/L、SS</w:t>
            </w:r>
            <w:r>
              <w:rPr>
                <w:rFonts w:hint="eastAsia" w:hAnsi="宋体"/>
                <w:color w:val="auto"/>
                <w:sz w:val="24"/>
                <w:szCs w:val="22"/>
                <w:lang w:val="en-US" w:eastAsia="zh-CN"/>
              </w:rPr>
              <w:t>：</w:t>
            </w:r>
            <w:r>
              <w:rPr>
                <w:rFonts w:hint="default" w:hAnsi="宋体"/>
                <w:color w:val="auto"/>
                <w:sz w:val="24"/>
                <w:szCs w:val="22"/>
                <w:lang w:val="en-US" w:eastAsia="zh-CN"/>
              </w:rPr>
              <w:t>200mg/L、氨氮</w:t>
            </w:r>
            <w:r>
              <w:rPr>
                <w:rFonts w:hint="eastAsia" w:hAnsi="宋体"/>
                <w:color w:val="auto"/>
                <w:sz w:val="24"/>
                <w:szCs w:val="22"/>
                <w:lang w:val="en-US" w:eastAsia="zh-CN"/>
              </w:rPr>
              <w:t>：</w:t>
            </w:r>
            <w:r>
              <w:rPr>
                <w:rFonts w:hint="default" w:hAnsi="宋体"/>
                <w:color w:val="auto"/>
                <w:sz w:val="24"/>
                <w:szCs w:val="22"/>
                <w:lang w:val="en-US" w:eastAsia="zh-CN"/>
              </w:rPr>
              <w:t>30mg/L</w:t>
            </w:r>
            <w:r>
              <w:rPr>
                <w:rFonts w:hint="eastAsia" w:hAnsi="宋体"/>
                <w:color w:val="auto"/>
                <w:sz w:val="24"/>
                <w:szCs w:val="22"/>
                <w:lang w:val="en-US"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color w:val="auto"/>
                <w:sz w:val="24"/>
              </w:rPr>
            </w:pPr>
            <w:r>
              <w:rPr>
                <w:rFonts w:hint="eastAsia"/>
                <w:color w:val="auto"/>
                <w:sz w:val="24"/>
              </w:rPr>
              <w:t>项目</w:t>
            </w:r>
            <w:r>
              <w:rPr>
                <w:rFonts w:hint="eastAsia"/>
                <w:color w:val="auto"/>
                <w:sz w:val="24"/>
                <w:lang w:val="en-US" w:eastAsia="zh-CN"/>
              </w:rPr>
              <w:t>各类</w:t>
            </w:r>
            <w:r>
              <w:rPr>
                <w:rFonts w:hint="eastAsia"/>
                <w:color w:val="auto"/>
                <w:sz w:val="24"/>
              </w:rPr>
              <w:t>废水</w:t>
            </w:r>
            <w:r>
              <w:rPr>
                <w:color w:val="auto"/>
                <w:sz w:val="24"/>
              </w:rPr>
              <w:t>主要污染物种类及浓度见表</w:t>
            </w:r>
            <w:r>
              <w:rPr>
                <w:rFonts w:hint="eastAsia"/>
                <w:color w:val="auto"/>
                <w:sz w:val="24"/>
                <w:lang w:val="en-US" w:eastAsia="zh-CN"/>
              </w:rPr>
              <w:t>8</w:t>
            </w:r>
            <w:r>
              <w:rPr>
                <w:rFonts w:hint="eastAsia"/>
                <w:color w:val="auto"/>
                <w:sz w:val="24"/>
              </w:rPr>
              <w:t>。</w:t>
            </w:r>
          </w:p>
          <w:p>
            <w:pPr>
              <w:pStyle w:val="2"/>
              <w:rPr>
                <w:rFonts w:hint="eastAsia"/>
              </w:rPr>
            </w:pPr>
          </w:p>
          <w:p>
            <w:pPr>
              <w:pStyle w:val="31"/>
              <w:keepNext w:val="0"/>
              <w:keepLines w:val="0"/>
              <w:pageBreakBefore w:val="0"/>
              <w:widowControl w:val="0"/>
              <w:kinsoku/>
              <w:wordWrap/>
              <w:overflowPunct/>
              <w:topLinePunct w:val="0"/>
              <w:autoSpaceDE/>
              <w:autoSpaceDN/>
              <w:bidi w:val="0"/>
              <w:adjustRightInd w:val="0"/>
              <w:snapToGrid w:val="0"/>
              <w:spacing w:after="0" w:afterLines="0" w:line="360" w:lineRule="auto"/>
              <w:ind w:left="0" w:leftChars="0" w:firstLine="420" w:firstLineChars="200"/>
              <w:jc w:val="center"/>
              <w:textAlignment w:val="auto"/>
              <w:rPr>
                <w:rFonts w:hint="default" w:ascii="Times New Roman" w:hAnsi="Times New Roman" w:eastAsia="黑体" w:cs="Times New Roman"/>
                <w:b w:val="0"/>
                <w:bCs/>
                <w:sz w:val="21"/>
                <w:szCs w:val="21"/>
              </w:rPr>
            </w:pPr>
            <w:r>
              <w:rPr>
                <w:rFonts w:hint="default" w:ascii="Times New Roman" w:hAnsi="Times New Roman" w:eastAsia="黑体" w:cs="Times New Roman"/>
                <w:b w:val="0"/>
                <w:bCs/>
                <w:sz w:val="21"/>
                <w:szCs w:val="21"/>
              </w:rPr>
              <w:t>表</w:t>
            </w:r>
            <w:r>
              <w:rPr>
                <w:rFonts w:hint="eastAsia" w:eastAsia="黑体" w:cs="Times New Roman"/>
                <w:b w:val="0"/>
                <w:bCs/>
                <w:sz w:val="21"/>
                <w:szCs w:val="21"/>
                <w:lang w:val="en-US" w:eastAsia="zh-CN"/>
              </w:rPr>
              <w:t>8</w:t>
            </w:r>
            <w:r>
              <w:rPr>
                <w:rFonts w:hint="default" w:ascii="Times New Roman" w:hAnsi="Times New Roman" w:eastAsia="黑体" w:cs="Times New Roman"/>
                <w:b w:val="0"/>
                <w:bCs/>
                <w:sz w:val="21"/>
                <w:szCs w:val="21"/>
              </w:rPr>
              <w:t xml:space="preserve">  </w:t>
            </w:r>
            <w:r>
              <w:rPr>
                <w:rFonts w:hint="eastAsia" w:eastAsia="黑体" w:cs="Times New Roman"/>
                <w:b w:val="0"/>
                <w:bCs/>
                <w:sz w:val="21"/>
                <w:szCs w:val="21"/>
                <w:lang w:val="en-US" w:eastAsia="zh-CN"/>
              </w:rPr>
              <w:t>项目</w:t>
            </w:r>
            <w:r>
              <w:rPr>
                <w:rFonts w:hint="default" w:ascii="Times New Roman" w:hAnsi="Times New Roman" w:eastAsia="黑体" w:cs="Times New Roman"/>
                <w:b w:val="0"/>
                <w:bCs/>
                <w:sz w:val="21"/>
                <w:szCs w:val="21"/>
              </w:rPr>
              <w:t>废水主要污染物种类、浓度及产生量表</w:t>
            </w:r>
          </w:p>
          <w:tbl>
            <w:tblPr>
              <w:tblStyle w:val="37"/>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5"/>
              <w:gridCol w:w="1323"/>
              <w:gridCol w:w="1083"/>
              <w:gridCol w:w="1290"/>
              <w:gridCol w:w="1164"/>
              <w:gridCol w:w="1045"/>
              <w:gridCol w:w="13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946"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hAnsi="宋体" w:eastAsia="宋体"/>
                      <w:b/>
                      <w:szCs w:val="21"/>
                      <w:lang w:val="en-US" w:eastAsia="zh-CN"/>
                    </w:rPr>
                  </w:pPr>
                  <w:r>
                    <w:rPr>
                      <w:rFonts w:hint="eastAsia" w:hAnsi="宋体"/>
                      <w:b/>
                      <w:szCs w:val="21"/>
                      <w:lang w:val="en-US" w:eastAsia="zh-CN"/>
                    </w:rPr>
                    <w:t>废水种类</w:t>
                  </w:r>
                </w:p>
              </w:tc>
              <w:tc>
                <w:tcPr>
                  <w:tcW w:w="734"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b/>
                      <w:szCs w:val="21"/>
                    </w:rPr>
                  </w:pPr>
                  <w:r>
                    <w:rPr>
                      <w:rFonts w:hAnsi="宋体"/>
                      <w:b/>
                      <w:szCs w:val="21"/>
                    </w:rPr>
                    <w:t>污染物名称</w:t>
                  </w:r>
                </w:p>
              </w:tc>
              <w:tc>
                <w:tcPr>
                  <w:tcW w:w="601"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b/>
                      <w:szCs w:val="21"/>
                    </w:rPr>
                  </w:pPr>
                  <w:r>
                    <w:rPr>
                      <w:rFonts w:hAnsi="宋体"/>
                      <w:b/>
                      <w:szCs w:val="21"/>
                    </w:rPr>
                    <w:t>污水量</w:t>
                  </w:r>
                </w:p>
              </w:tc>
              <w:tc>
                <w:tcPr>
                  <w:tcW w:w="716"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eastAsia="宋体"/>
                      <w:b/>
                      <w:szCs w:val="21"/>
                      <w:lang w:val="en-US" w:eastAsia="zh-CN"/>
                    </w:rPr>
                  </w:pPr>
                  <w:r>
                    <w:rPr>
                      <w:rFonts w:hint="eastAsia"/>
                      <w:b/>
                      <w:szCs w:val="21"/>
                    </w:rPr>
                    <w:t>C</w:t>
                  </w:r>
                  <w:r>
                    <w:rPr>
                      <w:b/>
                      <w:szCs w:val="21"/>
                    </w:rPr>
                    <w:t>OD</w:t>
                  </w:r>
                  <w:r>
                    <w:rPr>
                      <w:rFonts w:hint="eastAsia"/>
                      <w:b/>
                      <w:szCs w:val="21"/>
                      <w:vertAlign w:val="subscript"/>
                      <w:lang w:val="en-US" w:eastAsia="zh-CN"/>
                    </w:rPr>
                    <w:t>Cr</w:t>
                  </w:r>
                </w:p>
              </w:tc>
              <w:tc>
                <w:tcPr>
                  <w:tcW w:w="646"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b/>
                      <w:szCs w:val="21"/>
                    </w:rPr>
                  </w:pPr>
                  <w:r>
                    <w:rPr>
                      <w:b/>
                      <w:szCs w:val="21"/>
                    </w:rPr>
                    <w:t>BOD</w:t>
                  </w:r>
                  <w:r>
                    <w:rPr>
                      <w:b/>
                      <w:szCs w:val="21"/>
                      <w:vertAlign w:val="subscript"/>
                    </w:rPr>
                    <w:t>5</w:t>
                  </w:r>
                </w:p>
              </w:tc>
              <w:tc>
                <w:tcPr>
                  <w:tcW w:w="580"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b/>
                      <w:szCs w:val="21"/>
                    </w:rPr>
                  </w:pPr>
                  <w:r>
                    <w:rPr>
                      <w:b/>
                      <w:szCs w:val="21"/>
                    </w:rPr>
                    <w:t>SS</w:t>
                  </w:r>
                </w:p>
              </w:tc>
              <w:tc>
                <w:tcPr>
                  <w:tcW w:w="773"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eastAsia="宋体"/>
                      <w:b/>
                      <w:szCs w:val="21"/>
                      <w:lang w:val="en-US" w:eastAsia="zh-CN"/>
                    </w:rPr>
                  </w:pPr>
                  <w:r>
                    <w:rPr>
                      <w:rFonts w:hint="eastAsia"/>
                      <w:b/>
                      <w:szCs w:val="21"/>
                      <w:lang w:val="en-US" w:eastAsia="zh-CN"/>
                    </w:rPr>
                    <w:t>氨氮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jc w:val="center"/>
              </w:trPr>
              <w:tc>
                <w:tcPr>
                  <w:tcW w:w="946" w:type="pct"/>
                  <w:vMerge w:val="restar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hAnsi="宋体" w:eastAsia="宋体"/>
                      <w:szCs w:val="21"/>
                      <w:lang w:val="en-US" w:eastAsia="zh-CN"/>
                    </w:rPr>
                  </w:pPr>
                  <w:r>
                    <w:rPr>
                      <w:rFonts w:hint="eastAsia" w:hAnsi="宋体"/>
                      <w:szCs w:val="21"/>
                      <w:lang w:val="en-US" w:eastAsia="zh-CN"/>
                    </w:rPr>
                    <w:t>原料清洗废水</w:t>
                  </w:r>
                </w:p>
              </w:tc>
              <w:tc>
                <w:tcPr>
                  <w:tcW w:w="734"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szCs w:val="21"/>
                    </w:rPr>
                  </w:pPr>
                  <w:r>
                    <w:rPr>
                      <w:rFonts w:hAnsi="宋体"/>
                      <w:szCs w:val="21"/>
                    </w:rPr>
                    <w:t>产生浓度</w:t>
                  </w:r>
                </w:p>
              </w:tc>
              <w:tc>
                <w:tcPr>
                  <w:tcW w:w="601" w:type="pct"/>
                  <w:vMerge w:val="restar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szCs w:val="21"/>
                    </w:rPr>
                  </w:pPr>
                  <w:r>
                    <w:rPr>
                      <w:rFonts w:hint="eastAsia"/>
                      <w:szCs w:val="21"/>
                      <w:lang w:val="en-US" w:eastAsia="zh-CN"/>
                    </w:rPr>
                    <w:t>22.5</w:t>
                  </w:r>
                  <w:r>
                    <w:rPr>
                      <w:szCs w:val="21"/>
                    </w:rPr>
                    <w:t>t/a</w:t>
                  </w:r>
                </w:p>
              </w:tc>
              <w:tc>
                <w:tcPr>
                  <w:tcW w:w="716"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szCs w:val="21"/>
                    </w:rPr>
                  </w:pPr>
                  <w:r>
                    <w:rPr>
                      <w:rFonts w:hint="eastAsia"/>
                      <w:szCs w:val="21"/>
                      <w:lang w:val="en-US" w:eastAsia="zh-CN"/>
                    </w:rPr>
                    <w:t>300</w:t>
                  </w:r>
                  <w:r>
                    <w:rPr>
                      <w:szCs w:val="21"/>
                    </w:rPr>
                    <w:t>mg/L</w:t>
                  </w:r>
                </w:p>
              </w:tc>
              <w:tc>
                <w:tcPr>
                  <w:tcW w:w="646"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szCs w:val="21"/>
                    </w:rPr>
                  </w:pPr>
                  <w:r>
                    <w:rPr>
                      <w:rFonts w:hint="eastAsia"/>
                      <w:szCs w:val="21"/>
                      <w:lang w:val="en-US" w:eastAsia="zh-CN"/>
                    </w:rPr>
                    <w:t>200</w:t>
                  </w:r>
                  <w:r>
                    <w:rPr>
                      <w:szCs w:val="21"/>
                    </w:rPr>
                    <w:t>mg/L</w:t>
                  </w:r>
                </w:p>
              </w:tc>
              <w:tc>
                <w:tcPr>
                  <w:tcW w:w="580"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szCs w:val="21"/>
                    </w:rPr>
                  </w:pPr>
                  <w:r>
                    <w:rPr>
                      <w:rFonts w:hint="eastAsia"/>
                      <w:szCs w:val="21"/>
                      <w:lang w:val="en-US" w:eastAsia="zh-CN"/>
                    </w:rPr>
                    <w:t>300</w:t>
                  </w:r>
                  <w:r>
                    <w:rPr>
                      <w:szCs w:val="21"/>
                    </w:rPr>
                    <w:t>mg/L</w:t>
                  </w:r>
                </w:p>
              </w:tc>
              <w:tc>
                <w:tcPr>
                  <w:tcW w:w="773"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szCs w:val="21"/>
                    </w:rPr>
                  </w:pPr>
                  <w:r>
                    <w:rPr>
                      <w:rFonts w:hint="eastAsia"/>
                      <w:szCs w:val="21"/>
                      <w:lang w:val="en-US" w:eastAsia="zh-CN"/>
                    </w:rPr>
                    <w:t>25</w:t>
                  </w:r>
                  <w:r>
                    <w:rPr>
                      <w:szCs w:val="21"/>
                    </w:rPr>
                    <w:t>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46" w:type="pct"/>
                  <w:vMerge w:val="continue"/>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Ansi="宋体"/>
                      <w:szCs w:val="21"/>
                    </w:rPr>
                  </w:pPr>
                </w:p>
              </w:tc>
              <w:tc>
                <w:tcPr>
                  <w:tcW w:w="734"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szCs w:val="21"/>
                    </w:rPr>
                  </w:pPr>
                  <w:r>
                    <w:rPr>
                      <w:rFonts w:hAnsi="宋体"/>
                      <w:szCs w:val="21"/>
                    </w:rPr>
                    <w:t>产生量</w:t>
                  </w:r>
                </w:p>
              </w:tc>
              <w:tc>
                <w:tcPr>
                  <w:tcW w:w="601" w:type="pct"/>
                  <w:vMerge w:val="continue"/>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szCs w:val="21"/>
                    </w:rPr>
                  </w:pPr>
                </w:p>
              </w:tc>
              <w:tc>
                <w:tcPr>
                  <w:tcW w:w="716"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szCs w:val="21"/>
                    </w:rPr>
                  </w:pPr>
                  <w:r>
                    <w:rPr>
                      <w:rFonts w:hint="eastAsia"/>
                      <w:szCs w:val="21"/>
                      <w:lang w:val="en-US" w:eastAsia="zh-CN"/>
                    </w:rPr>
                    <w:t>0.0068</w:t>
                  </w:r>
                  <w:r>
                    <w:rPr>
                      <w:szCs w:val="21"/>
                    </w:rPr>
                    <w:t>t/a</w:t>
                  </w:r>
                  <w:r>
                    <w:rPr>
                      <w:rFonts w:hint="eastAsia"/>
                      <w:szCs w:val="21"/>
                    </w:rPr>
                    <w:t xml:space="preserve"> </w:t>
                  </w:r>
                </w:p>
              </w:tc>
              <w:tc>
                <w:tcPr>
                  <w:tcW w:w="646"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szCs w:val="21"/>
                    </w:rPr>
                  </w:pPr>
                  <w:r>
                    <w:rPr>
                      <w:rFonts w:hint="eastAsia"/>
                      <w:szCs w:val="21"/>
                      <w:lang w:val="en-US" w:eastAsia="zh-CN"/>
                    </w:rPr>
                    <w:t>0.0045</w:t>
                  </w:r>
                  <w:r>
                    <w:rPr>
                      <w:rFonts w:hint="eastAsia"/>
                      <w:szCs w:val="21"/>
                    </w:rPr>
                    <w:t xml:space="preserve"> </w:t>
                  </w:r>
                  <w:r>
                    <w:rPr>
                      <w:szCs w:val="21"/>
                    </w:rPr>
                    <w:t>t/a</w:t>
                  </w:r>
                </w:p>
              </w:tc>
              <w:tc>
                <w:tcPr>
                  <w:tcW w:w="580"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szCs w:val="21"/>
                    </w:rPr>
                  </w:pPr>
                  <w:r>
                    <w:rPr>
                      <w:rFonts w:hint="eastAsia"/>
                      <w:szCs w:val="21"/>
                      <w:lang w:val="en-US" w:eastAsia="zh-CN"/>
                    </w:rPr>
                    <w:t>0.0068</w:t>
                  </w:r>
                  <w:r>
                    <w:rPr>
                      <w:szCs w:val="21"/>
                    </w:rPr>
                    <w:t>t/a</w:t>
                  </w:r>
                  <w:r>
                    <w:rPr>
                      <w:rFonts w:hint="eastAsia"/>
                      <w:szCs w:val="21"/>
                    </w:rPr>
                    <w:t xml:space="preserve"> </w:t>
                  </w:r>
                </w:p>
              </w:tc>
              <w:tc>
                <w:tcPr>
                  <w:tcW w:w="773" w:type="pct"/>
                  <w:noWrap w:val="0"/>
                  <w:vAlign w:val="center"/>
                </w:tcPr>
                <w:p>
                  <w:pPr>
                    <w:keepNext w:val="0"/>
                    <w:keepLines w:val="0"/>
                    <w:pageBreakBefore w:val="0"/>
                    <w:widowControl w:val="0"/>
                    <w:kinsoku/>
                    <w:wordWrap/>
                    <w:overflowPunct/>
                    <w:topLinePunct w:val="0"/>
                    <w:autoSpaceDE/>
                    <w:autoSpaceDN/>
                    <w:bidi w:val="0"/>
                    <w:adjustRightInd w:val="0"/>
                    <w:snapToGrid w:val="0"/>
                    <w:jc w:val="both"/>
                    <w:textAlignment w:val="auto"/>
                    <w:rPr>
                      <w:szCs w:val="21"/>
                    </w:rPr>
                  </w:pPr>
                  <w:r>
                    <w:rPr>
                      <w:rFonts w:hint="eastAsia"/>
                      <w:szCs w:val="21"/>
                      <w:lang w:val="en-US" w:eastAsia="zh-CN"/>
                    </w:rPr>
                    <w:t>5.62×10</w:t>
                  </w:r>
                  <w:r>
                    <w:rPr>
                      <w:rFonts w:hint="eastAsia"/>
                      <w:szCs w:val="21"/>
                      <w:vertAlign w:val="superscript"/>
                      <w:lang w:val="en-US" w:eastAsia="zh-CN"/>
                    </w:rPr>
                    <w:t>-4</w:t>
                  </w:r>
                  <w:r>
                    <w:rPr>
                      <w:szCs w:val="21"/>
                    </w:rPr>
                    <w:t>t/a</w:t>
                  </w:r>
                  <w:r>
                    <w:rPr>
                      <w:rFonts w:hint="eastAsia"/>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46" w:type="pct"/>
                  <w:vMerge w:val="restar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Ansi="宋体"/>
                      <w:szCs w:val="21"/>
                    </w:rPr>
                  </w:pPr>
                  <w:r>
                    <w:rPr>
                      <w:rFonts w:hint="eastAsia" w:hAnsi="宋体"/>
                      <w:szCs w:val="21"/>
                      <w:lang w:val="en-US" w:eastAsia="zh-CN"/>
                    </w:rPr>
                    <w:t>设备清洗废水</w:t>
                  </w:r>
                </w:p>
              </w:tc>
              <w:tc>
                <w:tcPr>
                  <w:tcW w:w="734"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ascii="Times New Roman" w:hAnsi="Times New Roman" w:eastAsia="宋体" w:cs="Times New Roman"/>
                      <w:kern w:val="2"/>
                      <w:sz w:val="21"/>
                      <w:szCs w:val="21"/>
                      <w:lang w:val="en-US" w:eastAsia="zh-CN" w:bidi="ar-SA"/>
                    </w:rPr>
                  </w:pPr>
                  <w:r>
                    <w:rPr>
                      <w:rFonts w:hAnsi="宋体"/>
                      <w:szCs w:val="21"/>
                    </w:rPr>
                    <w:t>产生浓度</w:t>
                  </w:r>
                </w:p>
              </w:tc>
              <w:tc>
                <w:tcPr>
                  <w:tcW w:w="601" w:type="pct"/>
                  <w:vMerge w:val="restar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eastAsia="宋体"/>
                      <w:szCs w:val="21"/>
                      <w:lang w:val="en-US" w:eastAsia="zh-CN"/>
                    </w:rPr>
                  </w:pPr>
                  <w:r>
                    <w:rPr>
                      <w:rFonts w:hint="eastAsia"/>
                      <w:szCs w:val="21"/>
                      <w:lang w:val="en-US" w:eastAsia="zh-CN"/>
                    </w:rPr>
                    <w:t>45</w:t>
                  </w:r>
                  <w:r>
                    <w:rPr>
                      <w:szCs w:val="21"/>
                    </w:rPr>
                    <w:t>t/a</w:t>
                  </w:r>
                </w:p>
              </w:tc>
              <w:tc>
                <w:tcPr>
                  <w:tcW w:w="716"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eastAsia="宋体"/>
                      <w:szCs w:val="21"/>
                      <w:lang w:val="en-US" w:eastAsia="zh-CN"/>
                    </w:rPr>
                  </w:pPr>
                  <w:r>
                    <w:rPr>
                      <w:rFonts w:hint="eastAsia"/>
                      <w:szCs w:val="21"/>
                      <w:lang w:val="en-US" w:eastAsia="zh-CN"/>
                    </w:rPr>
                    <w:t>1146</w:t>
                  </w:r>
                  <w:r>
                    <w:rPr>
                      <w:szCs w:val="21"/>
                    </w:rPr>
                    <w:t>mg/L</w:t>
                  </w:r>
                </w:p>
              </w:tc>
              <w:tc>
                <w:tcPr>
                  <w:tcW w:w="646"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szCs w:val="21"/>
                      <w:lang w:val="en-US" w:eastAsia="zh-CN"/>
                    </w:rPr>
                  </w:pPr>
                  <w:r>
                    <w:rPr>
                      <w:rFonts w:hint="eastAsia"/>
                      <w:szCs w:val="21"/>
                      <w:lang w:val="en-US" w:eastAsia="zh-CN"/>
                    </w:rPr>
                    <w:t>350</w:t>
                  </w:r>
                  <w:r>
                    <w:rPr>
                      <w:szCs w:val="21"/>
                    </w:rPr>
                    <w:t>mg/L</w:t>
                  </w:r>
                </w:p>
              </w:tc>
              <w:tc>
                <w:tcPr>
                  <w:tcW w:w="580"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eastAsia="宋体"/>
                      <w:szCs w:val="21"/>
                      <w:lang w:val="en-US" w:eastAsia="zh-CN"/>
                    </w:rPr>
                  </w:pPr>
                  <w:r>
                    <w:rPr>
                      <w:rFonts w:hint="eastAsia"/>
                      <w:szCs w:val="21"/>
                      <w:lang w:val="en-US" w:eastAsia="zh-CN"/>
                    </w:rPr>
                    <w:t>110</w:t>
                  </w:r>
                  <w:r>
                    <w:rPr>
                      <w:szCs w:val="21"/>
                    </w:rPr>
                    <w:t>mg/L</w:t>
                  </w:r>
                </w:p>
              </w:tc>
              <w:tc>
                <w:tcPr>
                  <w:tcW w:w="773"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szCs w:val="21"/>
                      <w:lang w:val="en-US" w:eastAsia="zh-CN"/>
                    </w:rPr>
                  </w:pPr>
                  <w:r>
                    <w:rPr>
                      <w:rFonts w:hint="eastAsia"/>
                      <w:szCs w:val="21"/>
                      <w:lang w:val="en-US" w:eastAsia="zh-CN"/>
                    </w:rPr>
                    <w:t>35</w:t>
                  </w:r>
                  <w:r>
                    <w:rPr>
                      <w:szCs w:val="21"/>
                    </w:rPr>
                    <w:t>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46" w:type="pct"/>
                  <w:vMerge w:val="continue"/>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Ansi="宋体"/>
                      <w:szCs w:val="21"/>
                    </w:rPr>
                  </w:pPr>
                </w:p>
              </w:tc>
              <w:tc>
                <w:tcPr>
                  <w:tcW w:w="734"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ascii="Times New Roman" w:hAnsi="Times New Roman" w:eastAsia="宋体" w:cs="Times New Roman"/>
                      <w:kern w:val="2"/>
                      <w:sz w:val="21"/>
                      <w:szCs w:val="21"/>
                      <w:lang w:val="en-US" w:eastAsia="zh-CN" w:bidi="ar-SA"/>
                    </w:rPr>
                  </w:pPr>
                  <w:r>
                    <w:rPr>
                      <w:rFonts w:hAnsi="宋体"/>
                      <w:szCs w:val="21"/>
                    </w:rPr>
                    <w:t>产生量</w:t>
                  </w:r>
                </w:p>
              </w:tc>
              <w:tc>
                <w:tcPr>
                  <w:tcW w:w="601" w:type="pct"/>
                  <w:vMerge w:val="continue"/>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szCs w:val="21"/>
                    </w:rPr>
                  </w:pPr>
                </w:p>
              </w:tc>
              <w:tc>
                <w:tcPr>
                  <w:tcW w:w="716"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eastAsia="宋体"/>
                      <w:szCs w:val="21"/>
                      <w:lang w:val="en-US" w:eastAsia="zh-CN"/>
                    </w:rPr>
                  </w:pPr>
                  <w:r>
                    <w:rPr>
                      <w:rFonts w:hint="eastAsia"/>
                      <w:szCs w:val="21"/>
                      <w:lang w:val="en-US" w:eastAsia="zh-CN"/>
                    </w:rPr>
                    <w:t>0.052</w:t>
                  </w:r>
                  <w:r>
                    <w:rPr>
                      <w:szCs w:val="21"/>
                    </w:rPr>
                    <w:t>t/a</w:t>
                  </w:r>
                </w:p>
              </w:tc>
              <w:tc>
                <w:tcPr>
                  <w:tcW w:w="646"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szCs w:val="21"/>
                      <w:lang w:val="en-US" w:eastAsia="zh-CN"/>
                    </w:rPr>
                  </w:pPr>
                  <w:r>
                    <w:rPr>
                      <w:rFonts w:hint="eastAsia"/>
                      <w:szCs w:val="21"/>
                      <w:lang w:val="en-US" w:eastAsia="zh-CN"/>
                    </w:rPr>
                    <w:t>0.016</w:t>
                  </w:r>
                  <w:r>
                    <w:rPr>
                      <w:szCs w:val="21"/>
                    </w:rPr>
                    <w:t>t/a</w:t>
                  </w:r>
                </w:p>
              </w:tc>
              <w:tc>
                <w:tcPr>
                  <w:tcW w:w="580"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eastAsia="宋体"/>
                      <w:szCs w:val="21"/>
                      <w:lang w:val="en-US" w:eastAsia="zh-CN"/>
                    </w:rPr>
                  </w:pPr>
                  <w:r>
                    <w:rPr>
                      <w:rFonts w:hint="eastAsia"/>
                      <w:szCs w:val="21"/>
                      <w:lang w:val="en-US" w:eastAsia="zh-CN"/>
                    </w:rPr>
                    <w:t>0.005</w:t>
                  </w:r>
                  <w:r>
                    <w:rPr>
                      <w:szCs w:val="21"/>
                    </w:rPr>
                    <w:t>t/a</w:t>
                  </w:r>
                </w:p>
              </w:tc>
              <w:tc>
                <w:tcPr>
                  <w:tcW w:w="773"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szCs w:val="21"/>
                      <w:lang w:val="en-US" w:eastAsia="zh-CN"/>
                    </w:rPr>
                  </w:pPr>
                  <w:r>
                    <w:rPr>
                      <w:rFonts w:hint="eastAsia"/>
                      <w:szCs w:val="21"/>
                      <w:lang w:val="en-US" w:eastAsia="zh-CN"/>
                    </w:rPr>
                    <w:t>0.0016</w:t>
                  </w:r>
                  <w:r>
                    <w:rPr>
                      <w:szCs w:val="21"/>
                    </w:rPr>
                    <w:t>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46" w:type="pct"/>
                  <w:vMerge w:val="restar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hAnsi="宋体" w:eastAsia="宋体"/>
                      <w:szCs w:val="21"/>
                      <w:lang w:val="en-US" w:eastAsia="zh-CN"/>
                    </w:rPr>
                  </w:pPr>
                  <w:r>
                    <w:rPr>
                      <w:rFonts w:hint="eastAsia" w:hAnsi="宋体"/>
                      <w:szCs w:val="21"/>
                      <w:lang w:val="en-US" w:eastAsia="zh-CN"/>
                    </w:rPr>
                    <w:t>地面清洗废水</w:t>
                  </w:r>
                </w:p>
              </w:tc>
              <w:tc>
                <w:tcPr>
                  <w:tcW w:w="734"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ascii="Times New Roman" w:hAnsi="Times New Roman" w:eastAsia="宋体" w:cs="Times New Roman"/>
                      <w:kern w:val="2"/>
                      <w:sz w:val="21"/>
                      <w:szCs w:val="21"/>
                      <w:lang w:val="en-US" w:eastAsia="zh-CN" w:bidi="ar-SA"/>
                    </w:rPr>
                  </w:pPr>
                  <w:r>
                    <w:rPr>
                      <w:rFonts w:hAnsi="宋体"/>
                      <w:szCs w:val="21"/>
                    </w:rPr>
                    <w:t>产生浓度</w:t>
                  </w:r>
                </w:p>
              </w:tc>
              <w:tc>
                <w:tcPr>
                  <w:tcW w:w="601" w:type="pct"/>
                  <w:vMerge w:val="restar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eastAsia="宋体"/>
                      <w:szCs w:val="21"/>
                      <w:lang w:val="en-US" w:eastAsia="zh-CN"/>
                    </w:rPr>
                  </w:pPr>
                  <w:r>
                    <w:rPr>
                      <w:rFonts w:hint="eastAsia"/>
                      <w:szCs w:val="21"/>
                      <w:lang w:val="en-US" w:eastAsia="zh-CN"/>
                    </w:rPr>
                    <w:t>135</w:t>
                  </w:r>
                  <w:r>
                    <w:rPr>
                      <w:szCs w:val="21"/>
                    </w:rPr>
                    <w:t>t/a</w:t>
                  </w:r>
                </w:p>
              </w:tc>
              <w:tc>
                <w:tcPr>
                  <w:tcW w:w="716"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eastAsia="宋体"/>
                      <w:szCs w:val="21"/>
                      <w:lang w:val="en-US" w:eastAsia="zh-CN"/>
                    </w:rPr>
                  </w:pPr>
                  <w:r>
                    <w:rPr>
                      <w:rFonts w:hint="eastAsia"/>
                      <w:szCs w:val="21"/>
                      <w:lang w:val="en-US" w:eastAsia="zh-CN"/>
                    </w:rPr>
                    <w:t>450</w:t>
                  </w:r>
                  <w:r>
                    <w:rPr>
                      <w:szCs w:val="21"/>
                    </w:rPr>
                    <w:t>mg/L</w:t>
                  </w:r>
                </w:p>
              </w:tc>
              <w:tc>
                <w:tcPr>
                  <w:tcW w:w="646"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szCs w:val="21"/>
                      <w:lang w:val="en-US" w:eastAsia="zh-CN"/>
                    </w:rPr>
                  </w:pPr>
                  <w:r>
                    <w:rPr>
                      <w:rFonts w:hint="eastAsia"/>
                      <w:szCs w:val="21"/>
                      <w:lang w:val="en-US" w:eastAsia="zh-CN"/>
                    </w:rPr>
                    <w:t>/</w:t>
                  </w:r>
                </w:p>
              </w:tc>
              <w:tc>
                <w:tcPr>
                  <w:tcW w:w="580"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eastAsia="宋体"/>
                      <w:szCs w:val="21"/>
                      <w:lang w:val="en-US" w:eastAsia="zh-CN"/>
                    </w:rPr>
                  </w:pPr>
                  <w:r>
                    <w:rPr>
                      <w:rFonts w:hint="eastAsia"/>
                      <w:szCs w:val="21"/>
                      <w:lang w:val="en-US" w:eastAsia="zh-CN"/>
                    </w:rPr>
                    <w:t>800</w:t>
                  </w:r>
                  <w:r>
                    <w:rPr>
                      <w:szCs w:val="21"/>
                    </w:rPr>
                    <w:t>mg/L</w:t>
                  </w:r>
                </w:p>
              </w:tc>
              <w:tc>
                <w:tcPr>
                  <w:tcW w:w="773"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szCs w:val="21"/>
                      <w:lang w:val="en-US" w:eastAsia="zh-CN"/>
                    </w:rPr>
                  </w:pPr>
                  <w:r>
                    <w:rPr>
                      <w:rFonts w:hint="eastAsia"/>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946" w:type="pct"/>
                  <w:vMerge w:val="continue"/>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Ansi="宋体"/>
                      <w:szCs w:val="21"/>
                    </w:rPr>
                  </w:pPr>
                </w:p>
              </w:tc>
              <w:tc>
                <w:tcPr>
                  <w:tcW w:w="734"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ascii="Times New Roman" w:hAnsi="Times New Roman" w:eastAsia="宋体" w:cs="Times New Roman"/>
                      <w:kern w:val="2"/>
                      <w:sz w:val="21"/>
                      <w:szCs w:val="21"/>
                      <w:lang w:val="en-US" w:eastAsia="zh-CN" w:bidi="ar-SA"/>
                    </w:rPr>
                  </w:pPr>
                  <w:r>
                    <w:rPr>
                      <w:rFonts w:hAnsi="宋体"/>
                      <w:szCs w:val="21"/>
                    </w:rPr>
                    <w:t>产生量</w:t>
                  </w:r>
                </w:p>
              </w:tc>
              <w:tc>
                <w:tcPr>
                  <w:tcW w:w="601" w:type="pct"/>
                  <w:vMerge w:val="continue"/>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szCs w:val="21"/>
                    </w:rPr>
                  </w:pPr>
                </w:p>
              </w:tc>
              <w:tc>
                <w:tcPr>
                  <w:tcW w:w="716"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eastAsia="宋体"/>
                      <w:szCs w:val="21"/>
                      <w:lang w:val="en-US" w:eastAsia="zh-CN"/>
                    </w:rPr>
                  </w:pPr>
                  <w:r>
                    <w:rPr>
                      <w:rFonts w:hint="eastAsia"/>
                      <w:szCs w:val="21"/>
                      <w:lang w:val="en-US" w:eastAsia="zh-CN"/>
                    </w:rPr>
                    <w:t>0.06</w:t>
                  </w:r>
                  <w:r>
                    <w:rPr>
                      <w:szCs w:val="21"/>
                    </w:rPr>
                    <w:t>t/a</w:t>
                  </w:r>
                </w:p>
              </w:tc>
              <w:tc>
                <w:tcPr>
                  <w:tcW w:w="646"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imes New Roman" w:hAnsi="Times New Roman" w:eastAsia="宋体" w:cs="Times New Roman"/>
                      <w:kern w:val="2"/>
                      <w:sz w:val="21"/>
                      <w:szCs w:val="21"/>
                      <w:lang w:val="en-US" w:eastAsia="zh-CN" w:bidi="ar-SA"/>
                    </w:rPr>
                  </w:pPr>
                  <w:r>
                    <w:rPr>
                      <w:rFonts w:hint="eastAsia"/>
                      <w:szCs w:val="21"/>
                      <w:lang w:val="en-US" w:eastAsia="zh-CN"/>
                    </w:rPr>
                    <w:t>/</w:t>
                  </w:r>
                </w:p>
              </w:tc>
              <w:tc>
                <w:tcPr>
                  <w:tcW w:w="580"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imes New Roman" w:hAnsi="Times New Roman" w:eastAsia="宋体" w:cs="Times New Roman"/>
                      <w:kern w:val="2"/>
                      <w:sz w:val="21"/>
                      <w:szCs w:val="21"/>
                      <w:lang w:val="en-US" w:eastAsia="zh-CN" w:bidi="ar-SA"/>
                    </w:rPr>
                  </w:pPr>
                  <w:r>
                    <w:rPr>
                      <w:rFonts w:hint="eastAsia"/>
                      <w:szCs w:val="21"/>
                      <w:lang w:val="en-US" w:eastAsia="zh-CN"/>
                    </w:rPr>
                    <w:t>0.11</w:t>
                  </w:r>
                  <w:r>
                    <w:rPr>
                      <w:szCs w:val="21"/>
                    </w:rPr>
                    <w:t>t/a</w:t>
                  </w:r>
                </w:p>
              </w:tc>
              <w:tc>
                <w:tcPr>
                  <w:tcW w:w="773"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szCs w:val="21"/>
                      <w:lang w:val="en-US" w:eastAsia="zh-CN"/>
                    </w:rPr>
                  </w:pPr>
                  <w:r>
                    <w:rPr>
                      <w:rFonts w:hint="eastAsia"/>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46" w:type="pct"/>
                  <w:vMerge w:val="restar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hAnsi="宋体" w:eastAsia="宋体"/>
                      <w:szCs w:val="21"/>
                      <w:lang w:val="en-US" w:eastAsia="zh-CN"/>
                    </w:rPr>
                  </w:pPr>
                  <w:r>
                    <w:rPr>
                      <w:rFonts w:hint="eastAsia" w:hAnsi="宋体"/>
                      <w:szCs w:val="21"/>
                      <w:lang w:val="en-US" w:eastAsia="zh-CN"/>
                    </w:rPr>
                    <w:t>纯水系统浓排水</w:t>
                  </w:r>
                </w:p>
              </w:tc>
              <w:tc>
                <w:tcPr>
                  <w:tcW w:w="734"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ascii="Times New Roman" w:hAnsi="Times New Roman" w:eastAsia="宋体" w:cs="Times New Roman"/>
                      <w:kern w:val="2"/>
                      <w:sz w:val="21"/>
                      <w:szCs w:val="21"/>
                      <w:lang w:val="en-US" w:eastAsia="zh-CN" w:bidi="ar-SA"/>
                    </w:rPr>
                  </w:pPr>
                  <w:r>
                    <w:rPr>
                      <w:rFonts w:hAnsi="宋体"/>
                      <w:szCs w:val="21"/>
                    </w:rPr>
                    <w:t>产生浓度</w:t>
                  </w:r>
                </w:p>
              </w:tc>
              <w:tc>
                <w:tcPr>
                  <w:tcW w:w="601" w:type="pct"/>
                  <w:vMerge w:val="restar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eastAsia="宋体"/>
                      <w:szCs w:val="21"/>
                      <w:lang w:val="en-US" w:eastAsia="zh-CN"/>
                    </w:rPr>
                  </w:pPr>
                  <w:r>
                    <w:rPr>
                      <w:rFonts w:hint="eastAsia"/>
                      <w:szCs w:val="21"/>
                      <w:lang w:val="en-US" w:eastAsia="zh-CN"/>
                    </w:rPr>
                    <w:t>61.6</w:t>
                  </w:r>
                  <w:r>
                    <w:rPr>
                      <w:szCs w:val="21"/>
                    </w:rPr>
                    <w:t>t/a</w:t>
                  </w:r>
                </w:p>
              </w:tc>
              <w:tc>
                <w:tcPr>
                  <w:tcW w:w="716"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eastAsia="宋体"/>
                      <w:szCs w:val="21"/>
                      <w:lang w:val="en-US" w:eastAsia="zh-CN"/>
                    </w:rPr>
                  </w:pPr>
                  <w:r>
                    <w:rPr>
                      <w:rFonts w:hint="eastAsia"/>
                      <w:szCs w:val="21"/>
                      <w:lang w:val="en-US" w:eastAsia="zh-CN"/>
                    </w:rPr>
                    <w:t>25</w:t>
                  </w:r>
                  <w:r>
                    <w:rPr>
                      <w:szCs w:val="21"/>
                    </w:rPr>
                    <w:t>mg/L</w:t>
                  </w:r>
                </w:p>
              </w:tc>
              <w:tc>
                <w:tcPr>
                  <w:tcW w:w="646"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imes New Roman" w:hAnsi="Times New Roman" w:eastAsia="宋体" w:cs="Times New Roman"/>
                      <w:kern w:val="2"/>
                      <w:sz w:val="21"/>
                      <w:szCs w:val="21"/>
                      <w:lang w:val="en-US" w:eastAsia="zh-CN" w:bidi="ar-SA"/>
                    </w:rPr>
                  </w:pPr>
                  <w:r>
                    <w:rPr>
                      <w:rFonts w:hint="eastAsia"/>
                      <w:szCs w:val="21"/>
                      <w:lang w:val="en-US" w:eastAsia="zh-CN"/>
                    </w:rPr>
                    <w:t>/</w:t>
                  </w:r>
                </w:p>
              </w:tc>
              <w:tc>
                <w:tcPr>
                  <w:tcW w:w="580"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imes New Roman" w:hAnsi="Times New Roman" w:eastAsia="宋体" w:cs="Times New Roman"/>
                      <w:kern w:val="2"/>
                      <w:sz w:val="21"/>
                      <w:szCs w:val="21"/>
                      <w:lang w:val="en-US" w:eastAsia="zh-CN" w:bidi="ar-SA"/>
                    </w:rPr>
                  </w:pPr>
                  <w:r>
                    <w:rPr>
                      <w:rFonts w:hint="eastAsia"/>
                      <w:szCs w:val="21"/>
                      <w:lang w:val="en-US" w:eastAsia="zh-CN"/>
                    </w:rPr>
                    <w:t>/</w:t>
                  </w:r>
                </w:p>
              </w:tc>
              <w:tc>
                <w:tcPr>
                  <w:tcW w:w="773"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szCs w:val="21"/>
                      <w:lang w:val="en-US" w:eastAsia="zh-CN"/>
                    </w:rPr>
                  </w:pPr>
                  <w:r>
                    <w:rPr>
                      <w:rFonts w:hint="eastAsia"/>
                      <w:szCs w:val="21"/>
                      <w:lang w:val="en-US" w:eastAsia="zh-CN"/>
                    </w:rPr>
                    <w:t>50</w:t>
                  </w:r>
                  <w:r>
                    <w:rPr>
                      <w:szCs w:val="21"/>
                    </w:rPr>
                    <w:t>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46" w:type="pct"/>
                  <w:vMerge w:val="continue"/>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Ansi="宋体"/>
                      <w:szCs w:val="21"/>
                    </w:rPr>
                  </w:pPr>
                </w:p>
              </w:tc>
              <w:tc>
                <w:tcPr>
                  <w:tcW w:w="734"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ascii="Times New Roman" w:hAnsi="Times New Roman" w:eastAsia="宋体" w:cs="Times New Roman"/>
                      <w:kern w:val="2"/>
                      <w:sz w:val="21"/>
                      <w:szCs w:val="21"/>
                      <w:lang w:val="en-US" w:eastAsia="zh-CN" w:bidi="ar-SA"/>
                    </w:rPr>
                  </w:pPr>
                  <w:r>
                    <w:rPr>
                      <w:rFonts w:hAnsi="宋体"/>
                      <w:szCs w:val="21"/>
                    </w:rPr>
                    <w:t>产生量</w:t>
                  </w:r>
                </w:p>
              </w:tc>
              <w:tc>
                <w:tcPr>
                  <w:tcW w:w="601" w:type="pct"/>
                  <w:vMerge w:val="continue"/>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szCs w:val="21"/>
                    </w:rPr>
                  </w:pPr>
                </w:p>
              </w:tc>
              <w:tc>
                <w:tcPr>
                  <w:tcW w:w="716"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eastAsia="宋体"/>
                      <w:szCs w:val="21"/>
                      <w:lang w:val="en-US" w:eastAsia="zh-CN"/>
                    </w:rPr>
                  </w:pPr>
                  <w:r>
                    <w:rPr>
                      <w:rFonts w:hint="eastAsia"/>
                      <w:szCs w:val="21"/>
                      <w:lang w:val="en-US" w:eastAsia="zh-CN"/>
                    </w:rPr>
                    <w:t>0.0015</w:t>
                  </w:r>
                  <w:r>
                    <w:rPr>
                      <w:szCs w:val="21"/>
                    </w:rPr>
                    <w:t>t/a</w:t>
                  </w:r>
                </w:p>
              </w:tc>
              <w:tc>
                <w:tcPr>
                  <w:tcW w:w="646"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imes New Roman" w:hAnsi="Times New Roman" w:eastAsia="宋体" w:cs="Times New Roman"/>
                      <w:kern w:val="2"/>
                      <w:sz w:val="21"/>
                      <w:szCs w:val="21"/>
                      <w:lang w:val="en-US" w:eastAsia="zh-CN" w:bidi="ar-SA"/>
                    </w:rPr>
                  </w:pPr>
                  <w:r>
                    <w:rPr>
                      <w:rFonts w:hint="eastAsia"/>
                      <w:szCs w:val="21"/>
                      <w:lang w:val="en-US" w:eastAsia="zh-CN"/>
                    </w:rPr>
                    <w:t>/</w:t>
                  </w:r>
                </w:p>
              </w:tc>
              <w:tc>
                <w:tcPr>
                  <w:tcW w:w="580"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imes New Roman" w:hAnsi="Times New Roman" w:eastAsia="宋体" w:cs="Times New Roman"/>
                      <w:kern w:val="2"/>
                      <w:sz w:val="21"/>
                      <w:szCs w:val="21"/>
                      <w:lang w:val="en-US" w:eastAsia="zh-CN" w:bidi="ar-SA"/>
                    </w:rPr>
                  </w:pPr>
                  <w:r>
                    <w:rPr>
                      <w:rFonts w:hint="eastAsia"/>
                      <w:szCs w:val="21"/>
                      <w:lang w:val="en-US" w:eastAsia="zh-CN"/>
                    </w:rPr>
                    <w:t>/</w:t>
                  </w:r>
                </w:p>
              </w:tc>
              <w:tc>
                <w:tcPr>
                  <w:tcW w:w="773"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szCs w:val="21"/>
                      <w:lang w:val="en-US" w:eastAsia="zh-CN"/>
                    </w:rPr>
                  </w:pPr>
                  <w:r>
                    <w:rPr>
                      <w:rFonts w:hint="eastAsia"/>
                      <w:szCs w:val="21"/>
                      <w:lang w:val="en-US" w:eastAsia="zh-CN"/>
                    </w:rPr>
                    <w:t>0.0031</w:t>
                  </w:r>
                  <w:r>
                    <w:rPr>
                      <w:szCs w:val="21"/>
                    </w:rPr>
                    <w:t>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46"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hAnsi="宋体" w:eastAsia="宋体"/>
                      <w:szCs w:val="21"/>
                      <w:lang w:val="en-US" w:eastAsia="zh-CN"/>
                    </w:rPr>
                  </w:pPr>
                  <w:r>
                    <w:rPr>
                      <w:rFonts w:hint="eastAsia" w:hAnsi="宋体"/>
                      <w:szCs w:val="21"/>
                      <w:lang w:val="en-US" w:eastAsia="zh-CN"/>
                    </w:rPr>
                    <w:t>生产废水</w:t>
                  </w:r>
                </w:p>
              </w:tc>
              <w:tc>
                <w:tcPr>
                  <w:tcW w:w="734"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hAnsi="宋体" w:eastAsia="宋体"/>
                      <w:szCs w:val="21"/>
                      <w:lang w:val="en-US" w:eastAsia="zh-CN"/>
                    </w:rPr>
                  </w:pPr>
                  <w:r>
                    <w:rPr>
                      <w:rFonts w:hint="eastAsia" w:hAnsi="宋体"/>
                      <w:szCs w:val="21"/>
                      <w:lang w:val="en-US" w:eastAsia="zh-CN"/>
                    </w:rPr>
                    <w:t>产生量</w:t>
                  </w:r>
                </w:p>
              </w:tc>
              <w:tc>
                <w:tcPr>
                  <w:tcW w:w="601"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eastAsia="宋体"/>
                      <w:szCs w:val="21"/>
                      <w:lang w:val="en-US" w:eastAsia="zh-CN"/>
                    </w:rPr>
                  </w:pPr>
                  <w:r>
                    <w:rPr>
                      <w:rFonts w:hint="eastAsia"/>
                      <w:szCs w:val="21"/>
                      <w:lang w:val="en-US" w:eastAsia="zh-CN"/>
                    </w:rPr>
                    <w:t>264.1</w:t>
                  </w:r>
                </w:p>
              </w:tc>
              <w:tc>
                <w:tcPr>
                  <w:tcW w:w="716"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szCs w:val="21"/>
                      <w:lang w:val="en-US" w:eastAsia="zh-CN"/>
                    </w:rPr>
                  </w:pPr>
                  <w:r>
                    <w:rPr>
                      <w:rFonts w:hint="eastAsia"/>
                      <w:szCs w:val="21"/>
                      <w:lang w:val="en-US" w:eastAsia="zh-CN"/>
                    </w:rPr>
                    <w:t>0.12</w:t>
                  </w:r>
                  <w:r>
                    <w:rPr>
                      <w:szCs w:val="21"/>
                    </w:rPr>
                    <w:t>t/a</w:t>
                  </w:r>
                </w:p>
              </w:tc>
              <w:tc>
                <w:tcPr>
                  <w:tcW w:w="646"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szCs w:val="21"/>
                      <w:lang w:val="en-US" w:eastAsia="zh-CN"/>
                    </w:rPr>
                  </w:pPr>
                  <w:r>
                    <w:rPr>
                      <w:rFonts w:hint="eastAsia"/>
                      <w:szCs w:val="21"/>
                      <w:lang w:val="en-US" w:eastAsia="zh-CN"/>
                    </w:rPr>
                    <w:t>0.02</w:t>
                  </w:r>
                  <w:r>
                    <w:rPr>
                      <w:szCs w:val="21"/>
                    </w:rPr>
                    <w:t>t/a</w:t>
                  </w:r>
                </w:p>
              </w:tc>
              <w:tc>
                <w:tcPr>
                  <w:tcW w:w="580"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szCs w:val="21"/>
                      <w:lang w:val="en-US" w:eastAsia="zh-CN"/>
                    </w:rPr>
                  </w:pPr>
                  <w:r>
                    <w:rPr>
                      <w:rFonts w:hint="eastAsia"/>
                      <w:szCs w:val="21"/>
                      <w:lang w:val="en-US" w:eastAsia="zh-CN"/>
                    </w:rPr>
                    <w:t>0.122</w:t>
                  </w:r>
                  <w:r>
                    <w:rPr>
                      <w:szCs w:val="21"/>
                    </w:rPr>
                    <w:t>t/a</w:t>
                  </w:r>
                </w:p>
              </w:tc>
              <w:tc>
                <w:tcPr>
                  <w:tcW w:w="773"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szCs w:val="21"/>
                      <w:lang w:val="en-US" w:eastAsia="zh-CN"/>
                    </w:rPr>
                  </w:pPr>
                  <w:r>
                    <w:rPr>
                      <w:rFonts w:hint="eastAsia"/>
                      <w:szCs w:val="21"/>
                      <w:lang w:val="en-US" w:eastAsia="zh-CN"/>
                    </w:rPr>
                    <w:t>0.0053</w:t>
                  </w:r>
                  <w:r>
                    <w:rPr>
                      <w:szCs w:val="21"/>
                    </w:rPr>
                    <w:t>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46" w:type="pct"/>
                  <w:vMerge w:val="restar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hAnsi="宋体" w:eastAsia="宋体"/>
                      <w:szCs w:val="21"/>
                      <w:lang w:val="en-US" w:eastAsia="zh-CN"/>
                    </w:rPr>
                  </w:pPr>
                  <w:r>
                    <w:rPr>
                      <w:rFonts w:hint="eastAsia" w:hAnsi="宋体"/>
                      <w:szCs w:val="21"/>
                      <w:lang w:val="en-US" w:eastAsia="zh-CN"/>
                    </w:rPr>
                    <w:t>生活污水</w:t>
                  </w:r>
                </w:p>
              </w:tc>
              <w:tc>
                <w:tcPr>
                  <w:tcW w:w="734"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ascii="Times New Roman" w:hAnsi="Times New Roman" w:eastAsia="宋体" w:cs="Times New Roman"/>
                      <w:kern w:val="2"/>
                      <w:sz w:val="21"/>
                      <w:szCs w:val="21"/>
                      <w:lang w:val="en-US" w:eastAsia="zh-CN" w:bidi="ar-SA"/>
                    </w:rPr>
                  </w:pPr>
                  <w:r>
                    <w:rPr>
                      <w:rFonts w:hAnsi="宋体"/>
                      <w:szCs w:val="21"/>
                    </w:rPr>
                    <w:t>产生浓度</w:t>
                  </w:r>
                </w:p>
              </w:tc>
              <w:tc>
                <w:tcPr>
                  <w:tcW w:w="601" w:type="pct"/>
                  <w:vMerge w:val="restar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eastAsia="宋体"/>
                      <w:szCs w:val="21"/>
                      <w:lang w:val="en-US" w:eastAsia="zh-CN"/>
                    </w:rPr>
                  </w:pPr>
                  <w:r>
                    <w:rPr>
                      <w:rFonts w:hint="eastAsia"/>
                      <w:szCs w:val="21"/>
                      <w:lang w:val="en-US" w:eastAsia="zh-CN"/>
                    </w:rPr>
                    <w:t>128</w:t>
                  </w:r>
                  <w:r>
                    <w:rPr>
                      <w:szCs w:val="21"/>
                    </w:rPr>
                    <w:t>t/a</w:t>
                  </w:r>
                </w:p>
              </w:tc>
              <w:tc>
                <w:tcPr>
                  <w:tcW w:w="716"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eastAsia="宋体"/>
                      <w:szCs w:val="21"/>
                      <w:lang w:val="en-US" w:eastAsia="zh-CN"/>
                    </w:rPr>
                  </w:pPr>
                  <w:r>
                    <w:rPr>
                      <w:rFonts w:hint="eastAsia"/>
                      <w:szCs w:val="21"/>
                      <w:lang w:val="en-US" w:eastAsia="zh-CN"/>
                    </w:rPr>
                    <w:t>450</w:t>
                  </w:r>
                  <w:r>
                    <w:rPr>
                      <w:szCs w:val="21"/>
                    </w:rPr>
                    <w:t>mg/L</w:t>
                  </w:r>
                </w:p>
              </w:tc>
              <w:tc>
                <w:tcPr>
                  <w:tcW w:w="646"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szCs w:val="21"/>
                      <w:lang w:val="en-US" w:eastAsia="zh-CN"/>
                    </w:rPr>
                  </w:pPr>
                  <w:r>
                    <w:rPr>
                      <w:rFonts w:hint="eastAsia"/>
                      <w:szCs w:val="21"/>
                      <w:lang w:val="en-US" w:eastAsia="zh-CN"/>
                    </w:rPr>
                    <w:t>250</w:t>
                  </w:r>
                  <w:r>
                    <w:rPr>
                      <w:szCs w:val="21"/>
                    </w:rPr>
                    <w:t>mg/L</w:t>
                  </w:r>
                </w:p>
              </w:tc>
              <w:tc>
                <w:tcPr>
                  <w:tcW w:w="580"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eastAsia="宋体"/>
                      <w:szCs w:val="21"/>
                      <w:lang w:val="en-US" w:eastAsia="zh-CN"/>
                    </w:rPr>
                  </w:pPr>
                  <w:r>
                    <w:rPr>
                      <w:rFonts w:hint="eastAsia"/>
                      <w:szCs w:val="21"/>
                      <w:lang w:val="en-US" w:eastAsia="zh-CN"/>
                    </w:rPr>
                    <w:t>200</w:t>
                  </w:r>
                  <w:r>
                    <w:rPr>
                      <w:szCs w:val="21"/>
                    </w:rPr>
                    <w:t>mg/L</w:t>
                  </w:r>
                </w:p>
              </w:tc>
              <w:tc>
                <w:tcPr>
                  <w:tcW w:w="773"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szCs w:val="21"/>
                      <w:lang w:val="en-US" w:eastAsia="zh-CN"/>
                    </w:rPr>
                  </w:pPr>
                  <w:r>
                    <w:rPr>
                      <w:rFonts w:hint="eastAsia"/>
                      <w:szCs w:val="21"/>
                      <w:lang w:val="en-US" w:eastAsia="zh-CN"/>
                    </w:rPr>
                    <w:t>30</w:t>
                  </w:r>
                  <w:r>
                    <w:rPr>
                      <w:szCs w:val="21"/>
                    </w:rPr>
                    <w:t>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46" w:type="pct"/>
                  <w:vMerge w:val="continue"/>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Ansi="宋体"/>
                      <w:szCs w:val="21"/>
                    </w:rPr>
                  </w:pPr>
                </w:p>
              </w:tc>
              <w:tc>
                <w:tcPr>
                  <w:tcW w:w="734"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ascii="Times New Roman" w:hAnsi="Times New Roman" w:eastAsia="宋体" w:cs="Times New Roman"/>
                      <w:kern w:val="2"/>
                      <w:sz w:val="21"/>
                      <w:szCs w:val="21"/>
                      <w:lang w:val="en-US" w:eastAsia="zh-CN" w:bidi="ar-SA"/>
                    </w:rPr>
                  </w:pPr>
                  <w:r>
                    <w:rPr>
                      <w:rFonts w:hAnsi="宋体"/>
                      <w:szCs w:val="21"/>
                    </w:rPr>
                    <w:t>产生量</w:t>
                  </w:r>
                </w:p>
              </w:tc>
              <w:tc>
                <w:tcPr>
                  <w:tcW w:w="601" w:type="pct"/>
                  <w:vMerge w:val="continue"/>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szCs w:val="21"/>
                    </w:rPr>
                  </w:pPr>
                </w:p>
              </w:tc>
              <w:tc>
                <w:tcPr>
                  <w:tcW w:w="716"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eastAsia="宋体"/>
                      <w:szCs w:val="21"/>
                      <w:lang w:val="en-US" w:eastAsia="zh-CN"/>
                    </w:rPr>
                  </w:pPr>
                  <w:r>
                    <w:rPr>
                      <w:rFonts w:hint="eastAsia"/>
                      <w:szCs w:val="21"/>
                      <w:lang w:val="en-US" w:eastAsia="zh-CN"/>
                    </w:rPr>
                    <w:t>0.058</w:t>
                  </w:r>
                  <w:r>
                    <w:rPr>
                      <w:szCs w:val="21"/>
                    </w:rPr>
                    <w:t>t/a</w:t>
                  </w:r>
                </w:p>
              </w:tc>
              <w:tc>
                <w:tcPr>
                  <w:tcW w:w="646"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szCs w:val="21"/>
                      <w:lang w:val="en-US" w:eastAsia="zh-CN"/>
                    </w:rPr>
                  </w:pPr>
                  <w:r>
                    <w:rPr>
                      <w:rFonts w:hint="eastAsia"/>
                      <w:szCs w:val="21"/>
                      <w:lang w:val="en-US" w:eastAsia="zh-CN"/>
                    </w:rPr>
                    <w:t>0.032</w:t>
                  </w:r>
                  <w:r>
                    <w:rPr>
                      <w:szCs w:val="21"/>
                    </w:rPr>
                    <w:t>t/a</w:t>
                  </w:r>
                </w:p>
              </w:tc>
              <w:tc>
                <w:tcPr>
                  <w:tcW w:w="580"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eastAsia="宋体"/>
                      <w:szCs w:val="21"/>
                      <w:lang w:val="en-US" w:eastAsia="zh-CN"/>
                    </w:rPr>
                  </w:pPr>
                  <w:r>
                    <w:rPr>
                      <w:rFonts w:hint="eastAsia"/>
                      <w:szCs w:val="21"/>
                      <w:lang w:val="en-US" w:eastAsia="zh-CN"/>
                    </w:rPr>
                    <w:t>0.026</w:t>
                  </w:r>
                  <w:r>
                    <w:rPr>
                      <w:szCs w:val="21"/>
                    </w:rPr>
                    <w:t>t/a</w:t>
                  </w:r>
                </w:p>
              </w:tc>
              <w:tc>
                <w:tcPr>
                  <w:tcW w:w="773"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szCs w:val="21"/>
                      <w:lang w:val="en-US" w:eastAsia="zh-CN"/>
                    </w:rPr>
                  </w:pPr>
                  <w:r>
                    <w:rPr>
                      <w:rFonts w:hint="eastAsia"/>
                      <w:szCs w:val="21"/>
                      <w:lang w:val="en-US" w:eastAsia="zh-CN"/>
                    </w:rPr>
                    <w:t>0.0038</w:t>
                  </w:r>
                  <w:r>
                    <w:rPr>
                      <w:szCs w:val="21"/>
                    </w:rPr>
                    <w:t>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46"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hAnsi="宋体" w:eastAsia="宋体"/>
                      <w:szCs w:val="21"/>
                      <w:lang w:val="en-US" w:eastAsia="zh-CN"/>
                    </w:rPr>
                  </w:pPr>
                  <w:r>
                    <w:rPr>
                      <w:rFonts w:hint="eastAsia" w:hAnsi="宋体"/>
                      <w:szCs w:val="21"/>
                      <w:lang w:val="en-US" w:eastAsia="zh-CN"/>
                    </w:rPr>
                    <w:t>综合废水</w:t>
                  </w:r>
                </w:p>
              </w:tc>
              <w:tc>
                <w:tcPr>
                  <w:tcW w:w="734"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hAnsi="宋体" w:eastAsia="宋体"/>
                      <w:szCs w:val="21"/>
                      <w:lang w:val="en-US" w:eastAsia="zh-CN"/>
                    </w:rPr>
                  </w:pPr>
                  <w:r>
                    <w:rPr>
                      <w:rFonts w:hint="eastAsia" w:hAnsi="宋体"/>
                      <w:szCs w:val="21"/>
                      <w:lang w:val="en-US" w:eastAsia="zh-CN"/>
                    </w:rPr>
                    <w:t>产生量</w:t>
                  </w:r>
                </w:p>
              </w:tc>
              <w:tc>
                <w:tcPr>
                  <w:tcW w:w="601"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eastAsia="宋体"/>
                      <w:szCs w:val="21"/>
                      <w:lang w:val="en-US" w:eastAsia="zh-CN"/>
                    </w:rPr>
                  </w:pPr>
                  <w:r>
                    <w:rPr>
                      <w:rFonts w:hint="eastAsia"/>
                      <w:szCs w:val="21"/>
                      <w:lang w:val="en-US" w:eastAsia="zh-CN"/>
                    </w:rPr>
                    <w:t>392.1</w:t>
                  </w:r>
                </w:p>
              </w:tc>
              <w:tc>
                <w:tcPr>
                  <w:tcW w:w="716"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eastAsia="宋体"/>
                      <w:szCs w:val="21"/>
                      <w:lang w:val="en-US" w:eastAsia="zh-CN"/>
                    </w:rPr>
                  </w:pPr>
                  <w:r>
                    <w:rPr>
                      <w:rFonts w:hint="eastAsia"/>
                      <w:szCs w:val="21"/>
                      <w:lang w:val="en-US" w:eastAsia="zh-CN"/>
                    </w:rPr>
                    <w:t>0.178</w:t>
                  </w:r>
                  <w:r>
                    <w:rPr>
                      <w:szCs w:val="21"/>
                    </w:rPr>
                    <w:t>t/a</w:t>
                  </w:r>
                </w:p>
              </w:tc>
              <w:tc>
                <w:tcPr>
                  <w:tcW w:w="646"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szCs w:val="21"/>
                      <w:lang w:val="en-US" w:eastAsia="zh-CN"/>
                    </w:rPr>
                  </w:pPr>
                  <w:r>
                    <w:rPr>
                      <w:rFonts w:hint="eastAsia"/>
                      <w:szCs w:val="21"/>
                      <w:lang w:val="en-US" w:eastAsia="zh-CN"/>
                    </w:rPr>
                    <w:t>0.052</w:t>
                  </w:r>
                  <w:r>
                    <w:rPr>
                      <w:szCs w:val="21"/>
                    </w:rPr>
                    <w:t>t/a</w:t>
                  </w:r>
                </w:p>
              </w:tc>
              <w:tc>
                <w:tcPr>
                  <w:tcW w:w="580"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eastAsia="宋体"/>
                      <w:szCs w:val="21"/>
                      <w:lang w:val="en-US" w:eastAsia="zh-CN"/>
                    </w:rPr>
                  </w:pPr>
                  <w:r>
                    <w:rPr>
                      <w:rFonts w:hint="eastAsia"/>
                      <w:szCs w:val="21"/>
                      <w:lang w:val="en-US" w:eastAsia="zh-CN"/>
                    </w:rPr>
                    <w:t>0.148</w:t>
                  </w:r>
                  <w:r>
                    <w:rPr>
                      <w:szCs w:val="21"/>
                    </w:rPr>
                    <w:t>t/a</w:t>
                  </w:r>
                </w:p>
              </w:tc>
              <w:tc>
                <w:tcPr>
                  <w:tcW w:w="773"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szCs w:val="21"/>
                      <w:lang w:val="en-US" w:eastAsia="zh-CN"/>
                    </w:rPr>
                  </w:pPr>
                  <w:r>
                    <w:rPr>
                      <w:rFonts w:hint="eastAsia"/>
                      <w:szCs w:val="21"/>
                      <w:lang w:val="en-US" w:eastAsia="zh-CN"/>
                    </w:rPr>
                    <w:t>0.009</w:t>
                  </w:r>
                  <w:r>
                    <w:rPr>
                      <w:szCs w:val="21"/>
                    </w:rPr>
                    <w:t>t/a</w:t>
                  </w:r>
                </w:p>
              </w:tc>
            </w:tr>
          </w:tbl>
          <w:p>
            <w:pPr>
              <w:keepNext w:val="0"/>
              <w:keepLines w:val="0"/>
              <w:pageBreakBefore w:val="0"/>
              <w:widowControl/>
              <w:tabs>
                <w:tab w:val="left" w:pos="2115"/>
              </w:tabs>
              <w:kinsoku/>
              <w:wordWrap/>
              <w:overflowPunct/>
              <w:topLinePunct w:val="0"/>
              <w:autoSpaceDE/>
              <w:autoSpaceDN/>
              <w:bidi w:val="0"/>
              <w:adjustRightInd w:val="0"/>
              <w:snapToGrid w:val="0"/>
              <w:spacing w:line="360" w:lineRule="auto"/>
              <w:ind w:firstLine="482" w:firstLineChars="200"/>
              <w:textAlignment w:val="auto"/>
              <w:rPr>
                <w:b/>
                <w:bCs/>
                <w:sz w:val="24"/>
              </w:rPr>
            </w:pPr>
            <w:r>
              <w:rPr>
                <w:b/>
                <w:bCs/>
                <w:sz w:val="24"/>
              </w:rPr>
              <w:t>2</w:t>
            </w:r>
            <w:r>
              <w:rPr>
                <w:rFonts w:hAnsi="宋体"/>
                <w:b/>
                <w:bCs/>
                <w:sz w:val="24"/>
              </w:rPr>
              <w:t>、废气</w:t>
            </w:r>
          </w:p>
          <w:p>
            <w:pPr>
              <w:keepNext w:val="0"/>
              <w:keepLines w:val="0"/>
              <w:pageBreakBefore w:val="0"/>
              <w:widowControl w:val="0"/>
              <w:tabs>
                <w:tab w:val="left" w:pos="840"/>
              </w:tabs>
              <w:kinsoku/>
              <w:wordWrap/>
              <w:overflowPunct/>
              <w:topLinePunct w:val="0"/>
              <w:autoSpaceDE/>
              <w:autoSpaceDN/>
              <w:bidi w:val="0"/>
              <w:adjustRightInd w:val="0"/>
              <w:snapToGrid w:val="0"/>
              <w:spacing w:line="360" w:lineRule="auto"/>
              <w:ind w:firstLine="456" w:firstLineChars="200"/>
              <w:textAlignment w:val="auto"/>
              <w:rPr>
                <w:rFonts w:hint="default" w:hAnsi="宋体" w:eastAsia="宋体"/>
                <w:spacing w:val="-6"/>
                <w:sz w:val="24"/>
                <w:lang w:val="en-US" w:eastAsia="zh-CN"/>
              </w:rPr>
            </w:pPr>
            <w:r>
              <w:rPr>
                <w:rFonts w:hint="eastAsia" w:hAnsi="宋体"/>
                <w:spacing w:val="-6"/>
                <w:sz w:val="24"/>
                <w:lang w:val="en-US" w:eastAsia="zh-CN"/>
              </w:rPr>
              <w:t>项目废气主要来源于</w:t>
            </w:r>
            <w:r>
              <w:rPr>
                <w:rFonts w:hint="eastAsia"/>
                <w:sz w:val="24"/>
                <w:szCs w:val="24"/>
                <w:lang w:val="en-US" w:eastAsia="zh-CN"/>
              </w:rPr>
              <w:t>提取、冷却工序及污水处理站产生的异味气体，提取、冷却工序异味气体主要为未冷凝的提取物，主要为香味气体，以臭气浓度表征；污水处理站的异味气体以H</w:t>
            </w:r>
            <w:r>
              <w:rPr>
                <w:rFonts w:hint="eastAsia"/>
                <w:sz w:val="24"/>
                <w:szCs w:val="24"/>
                <w:vertAlign w:val="subscript"/>
                <w:lang w:val="en-US" w:eastAsia="zh-CN"/>
              </w:rPr>
              <w:t>2</w:t>
            </w:r>
            <w:r>
              <w:rPr>
                <w:rFonts w:hint="eastAsia"/>
                <w:sz w:val="24"/>
                <w:szCs w:val="24"/>
                <w:lang w:val="en-US" w:eastAsia="zh-CN"/>
              </w:rPr>
              <w:t>S、NH</w:t>
            </w:r>
            <w:r>
              <w:rPr>
                <w:rFonts w:hint="eastAsia"/>
                <w:sz w:val="24"/>
                <w:szCs w:val="24"/>
                <w:vertAlign w:val="subscript"/>
                <w:lang w:val="en-US" w:eastAsia="zh-CN"/>
              </w:rPr>
              <w:t>3</w:t>
            </w:r>
            <w:r>
              <w:rPr>
                <w:rFonts w:hint="eastAsia"/>
                <w:sz w:val="24"/>
                <w:szCs w:val="24"/>
                <w:lang w:val="en-US" w:eastAsia="zh-CN"/>
              </w:rPr>
              <w:t>、臭气浓度表征</w:t>
            </w:r>
            <w:r>
              <w:rPr>
                <w:rFonts w:hint="eastAsia" w:hAnsi="宋体"/>
                <w:spacing w:val="-6"/>
                <w:sz w:val="24"/>
                <w:lang w:eastAsia="zh-CN"/>
              </w:rPr>
              <w:t>。</w:t>
            </w:r>
            <w:r>
              <w:rPr>
                <w:rFonts w:hint="eastAsia" w:hAnsi="宋体"/>
                <w:spacing w:val="-6"/>
                <w:sz w:val="24"/>
                <w:lang w:val="en-US" w:eastAsia="zh-CN"/>
              </w:rPr>
              <w:t>由于该项目生产废水产生量较小，</w:t>
            </w:r>
            <w:r>
              <w:rPr>
                <w:rFonts w:hint="eastAsia"/>
                <w:sz w:val="24"/>
                <w:szCs w:val="24"/>
                <w:lang w:val="en-US" w:eastAsia="zh-CN"/>
              </w:rPr>
              <w:t>污水处理站的异味气体不定量分析。</w:t>
            </w:r>
          </w:p>
          <w:p>
            <w:pPr>
              <w:keepNext w:val="0"/>
              <w:keepLines w:val="0"/>
              <w:pageBreakBefore w:val="0"/>
              <w:widowControl w:val="0"/>
              <w:tabs>
                <w:tab w:val="left" w:pos="840"/>
              </w:tabs>
              <w:kinsoku/>
              <w:wordWrap/>
              <w:overflowPunct/>
              <w:topLinePunct w:val="0"/>
              <w:autoSpaceDE/>
              <w:autoSpaceDN/>
              <w:bidi w:val="0"/>
              <w:adjustRightInd w:val="0"/>
              <w:snapToGrid w:val="0"/>
              <w:spacing w:line="360" w:lineRule="auto"/>
              <w:ind w:firstLine="482" w:firstLineChars="200"/>
              <w:textAlignment w:val="auto"/>
              <w:rPr>
                <w:b/>
                <w:bCs/>
                <w:sz w:val="24"/>
              </w:rPr>
            </w:pPr>
            <w:r>
              <w:rPr>
                <w:b/>
                <w:bCs/>
                <w:sz w:val="24"/>
              </w:rPr>
              <w:t>3</w:t>
            </w:r>
            <w:r>
              <w:rPr>
                <w:rFonts w:hAnsi="宋体"/>
                <w:b/>
                <w:bCs/>
                <w:sz w:val="24"/>
              </w:rPr>
              <w:t>、噪声</w:t>
            </w:r>
          </w:p>
          <w:p>
            <w:pPr>
              <w:pStyle w:val="31"/>
              <w:keepNext w:val="0"/>
              <w:keepLines w:val="0"/>
              <w:pageBreakBefore w:val="0"/>
              <w:widowControl w:val="0"/>
              <w:kinsoku/>
              <w:wordWrap/>
              <w:overflowPunct/>
              <w:topLinePunct w:val="0"/>
              <w:autoSpaceDE/>
              <w:autoSpaceDN/>
              <w:bidi w:val="0"/>
              <w:adjustRightInd w:val="0"/>
              <w:snapToGrid w:val="0"/>
              <w:spacing w:after="0" w:afterLines="0" w:line="360" w:lineRule="auto"/>
              <w:ind w:left="0" w:leftChars="0" w:firstLine="480" w:firstLineChars="200"/>
              <w:textAlignment w:val="auto"/>
              <w:rPr>
                <w:rFonts w:hint="eastAsia" w:hAnsi="宋体"/>
                <w:sz w:val="24"/>
              </w:rPr>
            </w:pPr>
            <w:r>
              <w:rPr>
                <w:rFonts w:hAnsi="宋体"/>
                <w:sz w:val="24"/>
              </w:rPr>
              <w:t>项目</w:t>
            </w:r>
            <w:r>
              <w:rPr>
                <w:rFonts w:hint="eastAsia" w:hAnsi="宋体"/>
                <w:sz w:val="24"/>
              </w:rPr>
              <w:t>主要</w:t>
            </w:r>
            <w:r>
              <w:rPr>
                <w:rFonts w:hint="eastAsia" w:hAnsi="宋体"/>
                <w:sz w:val="24"/>
                <w:lang w:val="en-US" w:eastAsia="zh-CN"/>
              </w:rPr>
              <w:t>为清洗机、真空干燥提取机及各种泵类产生的设备噪声</w:t>
            </w:r>
            <w:r>
              <w:rPr>
                <w:rFonts w:hint="eastAsia" w:hAnsi="宋体"/>
                <w:sz w:val="24"/>
              </w:rPr>
              <w:t>，</w:t>
            </w:r>
            <w:r>
              <w:rPr>
                <w:rFonts w:hAnsi="宋体"/>
                <w:sz w:val="24"/>
              </w:rPr>
              <w:t>噪声值约为</w:t>
            </w:r>
            <w:r>
              <w:rPr>
                <w:rFonts w:hint="eastAsia" w:hAnsi="宋体"/>
                <w:sz w:val="24"/>
                <w:lang w:val="en-US" w:eastAsia="zh-CN"/>
              </w:rPr>
              <w:t>70</w:t>
            </w:r>
            <w:r>
              <w:rPr>
                <w:sz w:val="24"/>
              </w:rPr>
              <w:t>~</w:t>
            </w:r>
            <w:r>
              <w:rPr>
                <w:rFonts w:hint="eastAsia"/>
                <w:sz w:val="24"/>
              </w:rPr>
              <w:t>8</w:t>
            </w:r>
            <w:r>
              <w:rPr>
                <w:rFonts w:hint="eastAsia"/>
                <w:sz w:val="24"/>
                <w:lang w:val="en-US" w:eastAsia="zh-CN"/>
              </w:rPr>
              <w:t>5</w:t>
            </w:r>
            <w:r>
              <w:rPr>
                <w:sz w:val="24"/>
              </w:rPr>
              <w:t>dB(A)</w:t>
            </w:r>
            <w:r>
              <w:rPr>
                <w:rFonts w:hint="eastAsia"/>
                <w:sz w:val="24"/>
                <w:szCs w:val="24"/>
              </w:rPr>
              <w:t>。</w:t>
            </w:r>
          </w:p>
          <w:p>
            <w:pPr>
              <w:pStyle w:val="31"/>
              <w:keepNext w:val="0"/>
              <w:keepLines w:val="0"/>
              <w:pageBreakBefore w:val="0"/>
              <w:widowControl w:val="0"/>
              <w:kinsoku/>
              <w:wordWrap/>
              <w:overflowPunct/>
              <w:topLinePunct w:val="0"/>
              <w:autoSpaceDE/>
              <w:autoSpaceDN/>
              <w:bidi w:val="0"/>
              <w:adjustRightInd w:val="0"/>
              <w:snapToGrid w:val="0"/>
              <w:spacing w:after="0" w:afterLines="0" w:line="360" w:lineRule="auto"/>
              <w:ind w:left="0" w:leftChars="0" w:firstLine="482" w:firstLineChars="200"/>
              <w:textAlignment w:val="auto"/>
              <w:rPr>
                <w:b/>
                <w:i/>
                <w:sz w:val="24"/>
                <w:szCs w:val="24"/>
              </w:rPr>
            </w:pPr>
            <w:r>
              <w:rPr>
                <w:b/>
                <w:sz w:val="24"/>
                <w:szCs w:val="24"/>
              </w:rPr>
              <w:t>4</w:t>
            </w:r>
            <w:r>
              <w:rPr>
                <w:rFonts w:hAnsi="宋体"/>
                <w:b/>
                <w:sz w:val="24"/>
                <w:szCs w:val="24"/>
              </w:rPr>
              <w:t>、固体废物</w:t>
            </w:r>
          </w:p>
          <w:p>
            <w:pPr>
              <w:keepNext w:val="0"/>
              <w:keepLines w:val="0"/>
              <w:pageBreakBefore w:val="0"/>
              <w:widowControl w:val="0"/>
              <w:tabs>
                <w:tab w:val="left" w:pos="420"/>
              </w:tabs>
              <w:kinsoku/>
              <w:wordWrap/>
              <w:overflowPunct/>
              <w:topLinePunct w:val="0"/>
              <w:autoSpaceDE/>
              <w:autoSpaceDN/>
              <w:bidi w:val="0"/>
              <w:adjustRightInd w:val="0"/>
              <w:snapToGrid w:val="0"/>
              <w:spacing w:line="360" w:lineRule="auto"/>
              <w:ind w:firstLine="480" w:firstLineChars="200"/>
              <w:textAlignment w:val="auto"/>
              <w:rPr>
                <w:rFonts w:hint="eastAsia" w:hAnsi="宋体" w:eastAsia="宋体"/>
                <w:bCs/>
                <w:sz w:val="24"/>
                <w:lang w:val="en-US" w:eastAsia="zh-CN"/>
              </w:rPr>
            </w:pPr>
            <w:r>
              <w:rPr>
                <w:rFonts w:hint="eastAsia" w:hAnsi="宋体"/>
                <w:bCs/>
                <w:sz w:val="24"/>
                <w:lang w:val="en-US" w:eastAsia="zh-CN"/>
              </w:rPr>
              <w:t>项目固体废物主要包括不合格原料、植物残渣、污水处理站污泥及生活垃圾</w:t>
            </w:r>
            <w:r>
              <w:rPr>
                <w:rFonts w:hint="eastAsia"/>
                <w:color w:val="auto"/>
                <w:sz w:val="24"/>
                <w:lang w:eastAsia="zh-CN"/>
              </w:rPr>
              <w:t>。</w:t>
            </w:r>
          </w:p>
          <w:p>
            <w:pPr>
              <w:keepNext w:val="0"/>
              <w:keepLines w:val="0"/>
              <w:pageBreakBefore w:val="0"/>
              <w:widowControl w:val="0"/>
              <w:tabs>
                <w:tab w:val="left" w:pos="420"/>
              </w:tabs>
              <w:kinsoku/>
              <w:wordWrap/>
              <w:overflowPunct/>
              <w:topLinePunct w:val="0"/>
              <w:autoSpaceDE/>
              <w:autoSpaceDN/>
              <w:bidi w:val="0"/>
              <w:adjustRightInd w:val="0"/>
              <w:snapToGrid w:val="0"/>
              <w:spacing w:line="360" w:lineRule="auto"/>
              <w:ind w:firstLine="480" w:firstLineChars="200"/>
              <w:textAlignment w:val="auto"/>
              <w:rPr>
                <w:rFonts w:hint="default" w:eastAsia="宋体"/>
                <w:bCs/>
                <w:sz w:val="24"/>
                <w:lang w:val="en-US" w:eastAsia="zh-CN"/>
              </w:rPr>
            </w:pPr>
            <w:r>
              <w:rPr>
                <w:rFonts w:hAnsi="宋体"/>
                <w:bCs/>
                <w:sz w:val="24"/>
              </w:rPr>
              <w:t>（</w:t>
            </w:r>
            <w:r>
              <w:rPr>
                <w:rFonts w:hint="eastAsia"/>
                <w:bCs/>
                <w:sz w:val="24"/>
              </w:rPr>
              <w:t>1</w:t>
            </w:r>
            <w:r>
              <w:rPr>
                <w:rFonts w:hAnsi="宋体"/>
                <w:bCs/>
                <w:sz w:val="24"/>
              </w:rPr>
              <w:t>）</w:t>
            </w:r>
            <w:r>
              <w:rPr>
                <w:rFonts w:hint="eastAsia" w:hAnsi="宋体"/>
                <w:bCs/>
                <w:sz w:val="24"/>
                <w:lang w:val="en-US" w:eastAsia="zh-CN"/>
              </w:rPr>
              <w:t>不合格原料</w:t>
            </w:r>
          </w:p>
          <w:p>
            <w:pPr>
              <w:keepNext w:val="0"/>
              <w:keepLines w:val="0"/>
              <w:pageBreakBefore w:val="0"/>
              <w:widowControl w:val="0"/>
              <w:tabs>
                <w:tab w:val="left" w:pos="420"/>
              </w:tabs>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cs="Times New Roman"/>
                <w:color w:val="auto"/>
                <w:sz w:val="24"/>
                <w:u w:val="none"/>
              </w:rPr>
            </w:pPr>
            <w:r>
              <w:rPr>
                <w:rFonts w:hint="eastAsia" w:cs="Times New Roman"/>
                <w:color w:val="auto"/>
                <w:sz w:val="24"/>
                <w:lang w:val="en-US" w:eastAsia="zh-CN"/>
              </w:rPr>
              <w:t>项目原料为新鲜的植物花叶，清洗前先经人工分拣，去掉不合格原料，产生量约占用量的0.1%，植物花叶用量为17t/a，则不合格原料为0.017t/a，属于一般工业固体废物，与生活垃圾一同由城市环卫部门定期清运</w:t>
            </w:r>
            <w:r>
              <w:rPr>
                <w:rFonts w:hint="default" w:ascii="Times New Roman" w:hAnsi="Times New Roman" w:cs="Times New Roman"/>
                <w:color w:val="auto"/>
                <w:sz w:val="24"/>
              </w:rPr>
              <w:t>。</w:t>
            </w:r>
          </w:p>
          <w:p>
            <w:pPr>
              <w:keepNext w:val="0"/>
              <w:keepLines w:val="0"/>
              <w:pageBreakBefore w:val="0"/>
              <w:widowControl w:val="0"/>
              <w:numPr>
                <w:ilvl w:val="0"/>
                <w:numId w:val="5"/>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lang w:val="en-US" w:eastAsia="zh-CN"/>
              </w:rPr>
            </w:pPr>
            <w:r>
              <w:rPr>
                <w:rFonts w:hint="eastAsia" w:cs="Times New Roman"/>
                <w:color w:val="auto"/>
                <w:sz w:val="24"/>
                <w:szCs w:val="24"/>
                <w:lang w:val="en-US" w:eastAsia="zh-CN"/>
              </w:rPr>
              <w:t>植物残渣</w:t>
            </w:r>
          </w:p>
          <w:p>
            <w:pPr>
              <w:keepNext w:val="0"/>
              <w:keepLines w:val="0"/>
              <w:pageBreakBefore w:val="0"/>
              <w:widowControl w:val="0"/>
              <w:kinsoku/>
              <w:wordWrap/>
              <w:overflowPunct/>
              <w:topLinePunct w:val="0"/>
              <w:autoSpaceDE/>
              <w:autoSpaceDN/>
              <w:bidi w:val="0"/>
              <w:adjustRightInd w:val="0"/>
              <w:snapToGrid w:val="0"/>
              <w:spacing w:line="360" w:lineRule="auto"/>
              <w:ind w:leftChars="0"/>
              <w:textAlignment w:val="auto"/>
              <w:rPr>
                <w:rFonts w:hint="default" w:ascii="Times New Roman" w:hAnsi="Times New Roman" w:eastAsia="宋体" w:cs="Times New Roman"/>
                <w:color w:val="auto"/>
                <w:sz w:val="24"/>
                <w:szCs w:val="24"/>
                <w:highlight w:val="none"/>
                <w:lang w:val="en-US" w:eastAsia="zh-CN"/>
              </w:rPr>
            </w:pPr>
            <w:r>
              <w:rPr>
                <w:rFonts w:hint="eastAsia" w:cs="Times New Roman"/>
                <w:color w:val="auto"/>
                <w:sz w:val="24"/>
                <w:szCs w:val="24"/>
                <w:lang w:val="en-US" w:eastAsia="zh-CN"/>
              </w:rPr>
              <w:t xml:space="preserve">    项目干燥提取结束后，干燥机内有残留植物残渣，产生量约5t/a，属于一般工业固体废物，由相</w:t>
            </w:r>
            <w:r>
              <w:rPr>
                <w:rFonts w:hint="eastAsia" w:cs="Times New Roman"/>
                <w:color w:val="auto"/>
                <w:sz w:val="24"/>
                <w:szCs w:val="24"/>
                <w:highlight w:val="none"/>
                <w:lang w:val="en-US" w:eastAsia="zh-CN"/>
              </w:rPr>
              <w:t>关食品单位回收利用。</w:t>
            </w:r>
          </w:p>
          <w:p>
            <w:pPr>
              <w:keepNext w:val="0"/>
              <w:keepLines w:val="0"/>
              <w:pageBreakBefore w:val="0"/>
              <w:widowControl w:val="0"/>
              <w:numPr>
                <w:ilvl w:val="0"/>
                <w:numId w:val="5"/>
              </w:numPr>
              <w:kinsoku/>
              <w:wordWrap/>
              <w:overflowPunct/>
              <w:topLinePunct w:val="0"/>
              <w:autoSpaceDE/>
              <w:autoSpaceDN/>
              <w:bidi w:val="0"/>
              <w:adjustRightInd w:val="0"/>
              <w:snapToGrid w:val="0"/>
              <w:spacing w:line="360" w:lineRule="auto"/>
              <w:ind w:left="0" w:leftChars="0" w:firstLine="480" w:firstLineChars="200"/>
              <w:textAlignment w:val="auto"/>
              <w:rPr>
                <w:rFonts w:hint="eastAsia" w:cs="Times New Roman"/>
                <w:color w:val="auto"/>
                <w:sz w:val="24"/>
                <w:szCs w:val="24"/>
                <w:lang w:val="en-US" w:eastAsia="zh-CN"/>
              </w:rPr>
            </w:pPr>
            <w:r>
              <w:rPr>
                <w:rFonts w:hint="eastAsia" w:cs="Times New Roman"/>
                <w:color w:val="auto"/>
                <w:sz w:val="24"/>
                <w:szCs w:val="24"/>
                <w:lang w:val="en-US" w:eastAsia="zh-CN"/>
              </w:rPr>
              <w:t>污水处理站污泥</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after="0" w:afterLines="0" w:line="360" w:lineRule="auto"/>
              <w:ind w:leftChars="0" w:firstLine="480" w:firstLineChars="200"/>
              <w:rPr>
                <w:rFonts w:hint="eastAsia" w:eastAsia="宋体"/>
                <w:lang w:eastAsia="zh-CN"/>
              </w:rPr>
            </w:pPr>
            <w:r>
              <w:rPr>
                <w:rFonts w:hint="eastAsia" w:ascii="Times New Roman" w:hAnsi="Times New Roman"/>
                <w:sz w:val="24"/>
                <w:lang w:val="en-US" w:eastAsia="zh-CN"/>
              </w:rPr>
              <w:t>项目污水处理站</w:t>
            </w:r>
            <w:r>
              <w:rPr>
                <w:rFonts w:ascii="Times New Roman" w:hAnsi="Times New Roman"/>
                <w:sz w:val="24"/>
              </w:rPr>
              <w:t>污泥</w:t>
            </w:r>
            <w:r>
              <w:rPr>
                <w:rFonts w:hint="eastAsia" w:ascii="Times New Roman" w:hAnsi="Times New Roman"/>
                <w:sz w:val="24"/>
                <w:lang w:val="en-US" w:eastAsia="zh-CN"/>
              </w:rPr>
              <w:t>来源于生化池、沉淀池，污泥经</w:t>
            </w:r>
            <w:r>
              <w:rPr>
                <w:rFonts w:ascii="Times New Roman" w:hAnsi="Times New Roman"/>
                <w:sz w:val="24"/>
              </w:rPr>
              <w:t>污泥浓缩池处理</w:t>
            </w:r>
            <w:r>
              <w:rPr>
                <w:rFonts w:hint="eastAsia" w:ascii="Times New Roman" w:hAnsi="Times New Roman"/>
                <w:sz w:val="24"/>
                <w:lang w:val="en-US" w:eastAsia="zh-CN"/>
              </w:rPr>
              <w:t>后，</w:t>
            </w:r>
            <w:r>
              <w:rPr>
                <w:rFonts w:ascii="Times New Roman" w:hAnsi="Times New Roman"/>
                <w:sz w:val="24"/>
              </w:rPr>
              <w:t>上清液回流至</w:t>
            </w:r>
            <w:r>
              <w:rPr>
                <w:rFonts w:hint="eastAsia" w:ascii="Times New Roman" w:hAnsi="Times New Roman"/>
                <w:sz w:val="24"/>
                <w:lang w:val="en-US" w:eastAsia="zh-CN"/>
              </w:rPr>
              <w:t>调节池</w:t>
            </w:r>
            <w:r>
              <w:rPr>
                <w:rFonts w:ascii="Times New Roman" w:hAnsi="Times New Roman"/>
                <w:sz w:val="24"/>
              </w:rPr>
              <w:t>处理，脱水后的污泥</w:t>
            </w:r>
            <w:r>
              <w:rPr>
                <w:rFonts w:hint="eastAsia" w:ascii="Times New Roman" w:hAnsi="Times New Roman"/>
                <w:sz w:val="24"/>
                <w:lang w:val="en-US" w:eastAsia="zh-CN"/>
              </w:rPr>
              <w:t>产生量约0.2t/a，由城市</w:t>
            </w:r>
            <w:r>
              <w:rPr>
                <w:rFonts w:ascii="Times New Roman" w:hAnsi="Times New Roman"/>
                <w:sz w:val="24"/>
              </w:rPr>
              <w:t>环卫部门定期清运</w:t>
            </w:r>
            <w:r>
              <w:rPr>
                <w:rFonts w:hint="eastAsia" w:ascii="Times New Roman" w:hAnsi="Times New Roman"/>
                <w:sz w:val="24"/>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200"/>
              <w:textAlignment w:val="auto"/>
              <w:rPr>
                <w:rFonts w:hAnsi="宋体"/>
                <w:bCs/>
                <w:sz w:val="24"/>
              </w:rPr>
            </w:pPr>
            <w:r>
              <w:rPr>
                <w:rFonts w:hint="eastAsia" w:hAnsi="宋体"/>
                <w:bCs/>
                <w:sz w:val="24"/>
                <w:lang w:eastAsia="zh-CN"/>
              </w:rPr>
              <w:t>（</w:t>
            </w:r>
            <w:r>
              <w:rPr>
                <w:rFonts w:hint="eastAsia" w:hAnsi="宋体"/>
                <w:bCs/>
                <w:sz w:val="24"/>
                <w:lang w:val="en-US" w:eastAsia="zh-CN"/>
              </w:rPr>
              <w:t>4</w:t>
            </w:r>
            <w:r>
              <w:rPr>
                <w:rFonts w:hint="eastAsia" w:hAnsi="宋体"/>
                <w:bCs/>
                <w:sz w:val="24"/>
                <w:lang w:eastAsia="zh-CN"/>
              </w:rPr>
              <w:t>）</w:t>
            </w:r>
            <w:r>
              <w:rPr>
                <w:rFonts w:hAnsi="宋体"/>
                <w:bCs/>
                <w:sz w:val="24"/>
              </w:rPr>
              <w:t>生活垃圾</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Ansi="宋体"/>
                <w:bCs/>
                <w:sz w:val="24"/>
              </w:rPr>
            </w:pPr>
            <w:r>
              <w:rPr>
                <w:rFonts w:hAnsi="宋体"/>
                <w:bCs/>
                <w:sz w:val="24"/>
              </w:rPr>
              <w:t>项目</w:t>
            </w:r>
            <w:r>
              <w:rPr>
                <w:rFonts w:hint="eastAsia" w:hAnsi="宋体"/>
                <w:bCs/>
                <w:sz w:val="24"/>
              </w:rPr>
              <w:t>定员</w:t>
            </w:r>
            <w:r>
              <w:rPr>
                <w:rFonts w:hint="eastAsia"/>
                <w:bCs/>
                <w:sz w:val="24"/>
                <w:lang w:val="en-US" w:eastAsia="zh-CN"/>
              </w:rPr>
              <w:t>12</w:t>
            </w:r>
            <w:r>
              <w:rPr>
                <w:rFonts w:hAnsi="宋体"/>
                <w:bCs/>
                <w:sz w:val="24"/>
              </w:rPr>
              <w:t>人，</w:t>
            </w:r>
            <w:r>
              <w:rPr>
                <w:rFonts w:hint="eastAsia" w:hAnsi="宋体"/>
                <w:bCs/>
                <w:sz w:val="24"/>
              </w:rPr>
              <w:t>不</w:t>
            </w:r>
            <w:r>
              <w:rPr>
                <w:rFonts w:hint="eastAsia" w:hAnsi="宋体"/>
                <w:bCs/>
                <w:sz w:val="24"/>
                <w:lang w:val="en-US" w:eastAsia="zh-CN"/>
              </w:rPr>
              <w:t>提供食宿，</w:t>
            </w:r>
            <w:r>
              <w:rPr>
                <w:rFonts w:hAnsi="宋体"/>
                <w:bCs/>
                <w:sz w:val="24"/>
              </w:rPr>
              <w:t>生活垃圾按</w:t>
            </w:r>
            <w:r>
              <w:rPr>
                <w:rFonts w:hint="eastAsia"/>
                <w:bCs/>
                <w:sz w:val="24"/>
              </w:rPr>
              <w:t>0.5</w:t>
            </w:r>
            <w:r>
              <w:rPr>
                <w:bCs/>
                <w:sz w:val="24"/>
              </w:rPr>
              <w:t>kg/</w:t>
            </w:r>
            <w:r>
              <w:rPr>
                <w:rFonts w:hAnsi="宋体"/>
                <w:bCs/>
                <w:sz w:val="24"/>
              </w:rPr>
              <w:t>人</w:t>
            </w:r>
            <w:r>
              <w:rPr>
                <w:bCs/>
                <w:sz w:val="24"/>
              </w:rPr>
              <w:t>·d</w:t>
            </w:r>
            <w:r>
              <w:rPr>
                <w:rFonts w:hAnsi="宋体"/>
                <w:bCs/>
                <w:sz w:val="24"/>
              </w:rPr>
              <w:t>计算，则项目员工生活垃圾的产生量为</w:t>
            </w:r>
            <w:r>
              <w:rPr>
                <w:rFonts w:hint="eastAsia"/>
                <w:bCs/>
                <w:sz w:val="24"/>
                <w:lang w:val="en-US" w:eastAsia="zh-CN"/>
              </w:rPr>
              <w:t>1.</w:t>
            </w:r>
            <w:r>
              <w:rPr>
                <w:rFonts w:hint="eastAsia"/>
                <w:bCs/>
                <w:sz w:val="24"/>
              </w:rPr>
              <w:t>5</w:t>
            </w:r>
            <w:r>
              <w:rPr>
                <w:bCs/>
                <w:sz w:val="24"/>
              </w:rPr>
              <w:t>t/a</w:t>
            </w:r>
            <w:r>
              <w:rPr>
                <w:rFonts w:hint="eastAsia"/>
                <w:bCs/>
                <w:sz w:val="24"/>
                <w:lang w:eastAsia="zh-CN"/>
              </w:rPr>
              <w:t>，</w:t>
            </w:r>
            <w:r>
              <w:rPr>
                <w:rFonts w:hint="eastAsia"/>
                <w:bCs/>
                <w:sz w:val="24"/>
                <w:lang w:val="en-US" w:eastAsia="zh-CN"/>
              </w:rPr>
              <w:t>由</w:t>
            </w:r>
            <w:r>
              <w:rPr>
                <w:rFonts w:hint="eastAsia" w:ascii="Times New Roman" w:hAnsi="Times New Roman"/>
                <w:sz w:val="24"/>
                <w:lang w:val="en-US" w:eastAsia="zh-CN"/>
              </w:rPr>
              <w:t>城市</w:t>
            </w:r>
            <w:r>
              <w:rPr>
                <w:rFonts w:ascii="Times New Roman" w:hAnsi="Times New Roman"/>
                <w:sz w:val="24"/>
              </w:rPr>
              <w:t>环卫部门定期清运</w:t>
            </w:r>
            <w:r>
              <w:rPr>
                <w:rFonts w:hAnsi="宋体"/>
                <w:bCs/>
                <w:sz w:val="24"/>
              </w:rPr>
              <w:t>。</w:t>
            </w:r>
          </w:p>
          <w:p>
            <w:pPr>
              <w:pStyle w:val="2"/>
              <w:rPr>
                <w:rFonts w:hAnsi="宋体"/>
                <w:bCs/>
                <w:sz w:val="24"/>
              </w:rPr>
            </w:pPr>
          </w:p>
          <w:p>
            <w:pPr>
              <w:rPr>
                <w:rFonts w:hAnsi="宋体"/>
                <w:bCs/>
                <w:sz w:val="24"/>
              </w:rPr>
            </w:pPr>
          </w:p>
          <w:p>
            <w:pPr>
              <w:pStyle w:val="2"/>
              <w:rPr>
                <w:rFonts w:hAnsi="宋体"/>
                <w:bCs/>
                <w:sz w:val="24"/>
              </w:rPr>
            </w:pPr>
          </w:p>
          <w:p>
            <w:pPr>
              <w:rPr>
                <w:rFonts w:hAnsi="宋体"/>
                <w:bCs/>
                <w:sz w:val="24"/>
              </w:rPr>
            </w:pPr>
          </w:p>
          <w:p>
            <w:pPr>
              <w:pStyle w:val="2"/>
              <w:rPr>
                <w:rFonts w:hAnsi="宋体"/>
                <w:bCs/>
                <w:sz w:val="24"/>
              </w:rPr>
            </w:pPr>
          </w:p>
          <w:p>
            <w:pPr>
              <w:rPr>
                <w:rFonts w:hAnsi="宋体"/>
                <w:bCs/>
                <w:sz w:val="24"/>
              </w:rPr>
            </w:pPr>
          </w:p>
          <w:p>
            <w:pPr>
              <w:pStyle w:val="2"/>
              <w:rPr>
                <w:rFonts w:hAnsi="宋体"/>
                <w:bCs/>
                <w:sz w:val="24"/>
              </w:rPr>
            </w:pPr>
          </w:p>
          <w:p>
            <w:pPr>
              <w:rPr>
                <w:rFonts w:hAnsi="宋体"/>
                <w:bCs/>
                <w:sz w:val="24"/>
              </w:rPr>
            </w:pPr>
          </w:p>
          <w:p>
            <w:pPr>
              <w:pStyle w:val="2"/>
              <w:rPr>
                <w:rFonts w:hAnsi="宋体"/>
                <w:bCs/>
                <w:sz w:val="24"/>
              </w:rPr>
            </w:pPr>
          </w:p>
          <w:p>
            <w:pPr>
              <w:rPr>
                <w:rFonts w:hAnsi="宋体"/>
                <w:bCs/>
                <w:sz w:val="24"/>
              </w:rPr>
            </w:pPr>
          </w:p>
          <w:p>
            <w:pPr>
              <w:pStyle w:val="2"/>
              <w:rPr>
                <w:rFonts w:hAnsi="宋体"/>
                <w:bCs/>
                <w:sz w:val="24"/>
              </w:rPr>
            </w:pPr>
          </w:p>
          <w:p>
            <w:pPr>
              <w:rPr>
                <w:rFonts w:hAnsi="宋体"/>
                <w:bCs/>
                <w:sz w:val="24"/>
              </w:rPr>
            </w:pPr>
          </w:p>
          <w:p>
            <w:pPr>
              <w:pStyle w:val="2"/>
              <w:rPr>
                <w:rFonts w:hAnsi="宋体"/>
                <w:bCs/>
                <w:sz w:val="24"/>
              </w:rPr>
            </w:pPr>
          </w:p>
          <w:p>
            <w:pPr>
              <w:rPr>
                <w:rFonts w:hAnsi="宋体"/>
                <w:bCs/>
                <w:sz w:val="24"/>
              </w:rPr>
            </w:pPr>
          </w:p>
          <w:p>
            <w:pPr>
              <w:pStyle w:val="2"/>
            </w:pPr>
          </w:p>
          <w:p>
            <w:pPr>
              <w:rPr>
                <w:rFonts w:hAnsi="宋体"/>
                <w:bCs/>
                <w:sz w:val="24"/>
              </w:rPr>
            </w:pPr>
          </w:p>
          <w:p>
            <w:pPr>
              <w:pStyle w:val="2"/>
              <w:rPr>
                <w:rFonts w:hAnsi="宋体"/>
                <w:bCs/>
                <w:sz w:val="24"/>
              </w:rPr>
            </w:pPr>
          </w:p>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Ansi="宋体"/>
                <w:bCs/>
                <w:sz w:val="24"/>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Ansi="宋体"/>
                <w:bCs/>
                <w:sz w:val="24"/>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Ansi="宋体"/>
                <w:bCs/>
                <w:sz w:val="24"/>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Ansi="宋体"/>
                <w:bCs/>
                <w:sz w:val="24"/>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Ansi="宋体"/>
                <w:bCs/>
                <w:sz w:val="24"/>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Ansi="宋体"/>
                <w:bCs/>
                <w:sz w:val="24"/>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Ansi="宋体"/>
                <w:bCs/>
                <w:sz w:val="24"/>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Ansi="宋体"/>
                <w:bCs/>
                <w:sz w:val="24"/>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Ansi="宋体"/>
                <w:bCs/>
                <w:sz w:val="24"/>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hAnsi="宋体"/>
                <w:kern w:val="0"/>
                <w:sz w:val="24"/>
              </w:rPr>
            </w:pPr>
          </w:p>
        </w:tc>
      </w:tr>
    </w:tbl>
    <w:p>
      <w:pPr>
        <w:spacing w:line="360" w:lineRule="auto"/>
        <w:outlineLvl w:val="0"/>
        <w:rPr>
          <w:rFonts w:hint="eastAsia" w:ascii="黑体" w:hAnsi="宋体" w:eastAsia="黑体"/>
          <w:b w:val="0"/>
          <w:bCs w:val="0"/>
          <w:sz w:val="28"/>
          <w:szCs w:val="28"/>
        </w:rPr>
      </w:pPr>
      <w:bookmarkStart w:id="7" w:name="_Toc523785286"/>
      <w:bookmarkStart w:id="8" w:name="_Toc523785285"/>
      <w:r>
        <w:rPr>
          <w:rFonts w:hint="eastAsia" w:ascii="黑体" w:hAnsi="宋体" w:eastAsia="黑体"/>
          <w:b w:val="0"/>
          <w:bCs w:val="0"/>
          <w:sz w:val="28"/>
          <w:szCs w:val="28"/>
        </w:rPr>
        <w:t>环境影响分析</w:t>
      </w:r>
      <w:bookmarkEnd w:id="7"/>
    </w:p>
    <w:tbl>
      <w:tblPr>
        <w:tblStyle w:val="37"/>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894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8163" w:hRule="atLeast"/>
        </w:trPr>
        <w:tc>
          <w:tcPr>
            <w:tcW w:w="8946" w:type="dxa"/>
            <w:noWrap w:val="0"/>
            <w:vAlign w:val="top"/>
          </w:tcPr>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cs="宋体"/>
                <w:b/>
                <w:sz w:val="24"/>
                <w:szCs w:val="24"/>
              </w:rPr>
            </w:pPr>
            <w:r>
              <w:rPr>
                <w:rFonts w:hint="eastAsia" w:ascii="宋体" w:hAnsi="宋体" w:cs="宋体"/>
                <w:b/>
                <w:sz w:val="24"/>
                <w:szCs w:val="24"/>
              </w:rPr>
              <w:t>施工期环境影响分析</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rPr>
            </w:pPr>
            <w:r>
              <w:rPr>
                <w:sz w:val="24"/>
              </w:rPr>
              <w:t>拟建项目施工期较短，</w:t>
            </w:r>
            <w:r>
              <w:rPr>
                <w:rFonts w:hint="eastAsia"/>
                <w:sz w:val="24"/>
                <w:lang w:val="en-US" w:eastAsia="zh-CN"/>
              </w:rPr>
              <w:t>不涉及土建工程，主要为室内</w:t>
            </w:r>
            <w:r>
              <w:rPr>
                <w:sz w:val="24"/>
              </w:rPr>
              <w:t>装修</w:t>
            </w:r>
            <w:r>
              <w:rPr>
                <w:rFonts w:hint="eastAsia"/>
                <w:sz w:val="24"/>
                <w:lang w:eastAsia="zh-CN"/>
              </w:rPr>
              <w:t>、</w:t>
            </w:r>
            <w:r>
              <w:rPr>
                <w:sz w:val="24"/>
              </w:rPr>
              <w:t>安装设备</w:t>
            </w:r>
            <w:r>
              <w:rPr>
                <w:rFonts w:hint="eastAsia"/>
                <w:sz w:val="24"/>
                <w:lang w:val="en-US" w:eastAsia="zh-CN"/>
              </w:rPr>
              <w:t>等，施工期对环境造成的影响随着施工期结束而结束，本次评价不做分析</w:t>
            </w:r>
            <w:r>
              <w:rPr>
                <w:rFonts w:hint="eastAsia"/>
                <w:sz w:val="24"/>
              </w:rPr>
              <w:t>。</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b/>
                <w:bCs/>
                <w:kern w:val="0"/>
                <w:sz w:val="24"/>
              </w:rPr>
            </w:pPr>
            <w:r>
              <w:rPr>
                <w:rFonts w:hint="eastAsia" w:ascii="宋体" w:hAnsi="宋体"/>
                <w:b/>
                <w:bCs/>
                <w:kern w:val="0"/>
                <w:sz w:val="24"/>
              </w:rPr>
              <w:t>运营期环境影响分析</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cs="宋体"/>
                <w:b/>
                <w:bCs/>
                <w:sz w:val="24"/>
                <w:szCs w:val="24"/>
              </w:rPr>
            </w:pPr>
            <w:r>
              <w:rPr>
                <w:rFonts w:hint="eastAsia" w:ascii="宋体" w:hAnsi="宋体"/>
                <w:b/>
                <w:bCs/>
                <w:sz w:val="24"/>
                <w:szCs w:val="24"/>
              </w:rPr>
              <w:t>1、</w:t>
            </w:r>
            <w:r>
              <w:rPr>
                <w:rFonts w:hint="eastAsia" w:ascii="宋体" w:hAnsi="宋体"/>
                <w:b/>
                <w:bCs/>
                <w:sz w:val="24"/>
                <w:szCs w:val="24"/>
                <w:lang w:val="en-US" w:eastAsia="zh-CN"/>
              </w:rPr>
              <w:t>水环境</w:t>
            </w:r>
            <w:r>
              <w:rPr>
                <w:rFonts w:hint="eastAsia" w:ascii="宋体" w:hAnsi="宋体" w:cs="宋体"/>
                <w:b/>
                <w:bCs/>
                <w:sz w:val="24"/>
                <w:szCs w:val="24"/>
              </w:rPr>
              <w:t>影响分析及防治措施</w:t>
            </w:r>
          </w:p>
          <w:p>
            <w:pPr>
              <w:keepNext w:val="0"/>
              <w:keepLines w:val="0"/>
              <w:pageBreakBefore w:val="0"/>
              <w:kinsoku/>
              <w:wordWrap/>
              <w:overflowPunct/>
              <w:topLinePunct w:val="0"/>
              <w:autoSpaceDE/>
              <w:autoSpaceDN/>
              <w:bidi w:val="0"/>
              <w:adjustRightInd w:val="0"/>
              <w:snapToGrid w:val="0"/>
              <w:spacing w:beforeAutospacing="0" w:afterAutospacing="0" w:line="360" w:lineRule="auto"/>
              <w:ind w:leftChars="0" w:firstLine="480" w:firstLineChars="200"/>
              <w:textAlignment w:val="auto"/>
              <w:rPr>
                <w:rFonts w:hint="default" w:ascii="Times New Roman" w:hAnsi="Times New Roman" w:cs="Times New Roman"/>
                <w:color w:val="auto"/>
                <w:sz w:val="24"/>
                <w:highlight w:val="none"/>
              </w:rPr>
            </w:pPr>
            <w:r>
              <w:rPr>
                <w:rFonts w:hint="default" w:ascii="Times New Roman" w:hAnsi="Times New Roman" w:cs="Times New Roman"/>
                <w:sz w:val="24"/>
                <w:lang w:val="en-US" w:eastAsia="zh-CN"/>
              </w:rPr>
              <w:t>项目废水主要来源于</w:t>
            </w:r>
            <w:r>
              <w:rPr>
                <w:rFonts w:hint="eastAsia" w:hAnsi="宋体"/>
                <w:sz w:val="24"/>
                <w:szCs w:val="24"/>
                <w:lang w:val="en-US" w:eastAsia="zh-CN"/>
              </w:rPr>
              <w:t>原料清洗、设备清洗用水、地面清洗废水，纯水系统浓排水及生活污水。根据工程分析，</w:t>
            </w:r>
            <w:r>
              <w:rPr>
                <w:rFonts w:hint="default" w:ascii="Times New Roman" w:hAnsi="Times New Roman" w:cs="Times New Roman"/>
                <w:color w:val="auto"/>
                <w:sz w:val="24"/>
                <w:highlight w:val="none"/>
                <w:lang w:val="en-US" w:eastAsia="zh-CN"/>
              </w:rPr>
              <w:t>废水</w:t>
            </w:r>
            <w:r>
              <w:rPr>
                <w:rFonts w:hint="eastAsia" w:ascii="Times New Roman" w:hAnsi="Times New Roman" w:cs="Times New Roman"/>
                <w:color w:val="auto"/>
                <w:sz w:val="24"/>
                <w:highlight w:val="none"/>
                <w:lang w:val="en-US" w:eastAsia="zh-CN"/>
              </w:rPr>
              <w:t>产生</w:t>
            </w:r>
            <w:r>
              <w:rPr>
                <w:rFonts w:hint="default" w:ascii="Times New Roman" w:hAnsi="Times New Roman" w:cs="Times New Roman"/>
                <w:color w:val="auto"/>
                <w:sz w:val="24"/>
                <w:highlight w:val="none"/>
                <w:lang w:val="en-US" w:eastAsia="zh-CN"/>
              </w:rPr>
              <w:t>量为</w:t>
            </w:r>
            <w:r>
              <w:rPr>
                <w:rFonts w:hint="eastAsia" w:cs="Times New Roman"/>
                <w:color w:val="auto"/>
                <w:sz w:val="24"/>
                <w:highlight w:val="none"/>
                <w:lang w:val="en-US" w:eastAsia="zh-CN"/>
              </w:rPr>
              <w:t>392.1</w:t>
            </w:r>
            <w:r>
              <w:rPr>
                <w:rFonts w:hint="default" w:ascii="Times New Roman" w:hAnsi="Times New Roman" w:cs="Times New Roman"/>
                <w:color w:val="auto"/>
                <w:sz w:val="24"/>
                <w:highlight w:val="none"/>
                <w:lang w:val="en-US" w:eastAsia="zh-CN"/>
              </w:rPr>
              <w:t>t/a，其中</w:t>
            </w:r>
            <w:r>
              <w:rPr>
                <w:rFonts w:hint="default" w:ascii="Times New Roman" w:hAnsi="Times New Roman" w:cs="Times New Roman"/>
                <w:color w:val="auto"/>
                <w:sz w:val="24"/>
                <w:highlight w:val="none"/>
              </w:rPr>
              <w:t>生产废水</w:t>
            </w:r>
            <w:r>
              <w:rPr>
                <w:rFonts w:hint="eastAsia" w:ascii="Times New Roman" w:hAnsi="Times New Roman" w:cs="Times New Roman"/>
                <w:color w:val="auto"/>
                <w:sz w:val="24"/>
                <w:highlight w:val="none"/>
                <w:lang w:val="en-US" w:eastAsia="zh-CN"/>
              </w:rPr>
              <w:t>产生</w:t>
            </w:r>
            <w:r>
              <w:rPr>
                <w:rFonts w:hint="default" w:ascii="Times New Roman" w:hAnsi="Times New Roman" w:cs="Times New Roman"/>
                <w:color w:val="auto"/>
                <w:sz w:val="24"/>
                <w:highlight w:val="none"/>
              </w:rPr>
              <w:t>量约</w:t>
            </w:r>
            <w:r>
              <w:rPr>
                <w:rFonts w:hint="eastAsia" w:cs="Times New Roman"/>
                <w:color w:val="auto"/>
                <w:sz w:val="24"/>
                <w:highlight w:val="none"/>
                <w:lang w:val="en-US" w:eastAsia="zh-CN"/>
              </w:rPr>
              <w:t>264.1</w:t>
            </w:r>
            <w:r>
              <w:rPr>
                <w:rFonts w:hint="default" w:ascii="Times New Roman" w:hAnsi="Times New Roman" w:cs="Times New Roman"/>
                <w:color w:val="auto"/>
                <w:sz w:val="24"/>
                <w:highlight w:val="none"/>
              </w:rPr>
              <w:t>t/a</w:t>
            </w:r>
            <w:r>
              <w:rPr>
                <w:rFonts w:hint="eastAsia" w:cs="Times New Roman"/>
                <w:color w:val="auto"/>
                <w:sz w:val="24"/>
                <w:highlight w:val="none"/>
                <w:lang w:eastAsia="zh-CN"/>
              </w:rPr>
              <w:t>（</w:t>
            </w:r>
            <w:r>
              <w:rPr>
                <w:rFonts w:hint="eastAsia" w:cs="Times New Roman"/>
                <w:color w:val="auto"/>
                <w:sz w:val="24"/>
                <w:highlight w:val="none"/>
                <w:lang w:val="en-US" w:eastAsia="zh-CN"/>
              </w:rPr>
              <w:t>61.6t/a浓排水回用</w:t>
            </w:r>
            <w:r>
              <w:rPr>
                <w:rFonts w:hint="eastAsia" w:cs="Times New Roman"/>
                <w:color w:val="auto"/>
                <w:sz w:val="24"/>
                <w:highlight w:val="none"/>
                <w:lang w:eastAsia="zh-CN"/>
              </w:rPr>
              <w:t>）</w:t>
            </w:r>
            <w:r>
              <w:rPr>
                <w:rFonts w:hint="default" w:ascii="Times New Roman" w:hAnsi="Times New Roman" w:cs="Times New Roman"/>
                <w:color w:val="auto"/>
                <w:sz w:val="24"/>
                <w:highlight w:val="none"/>
                <w:lang w:eastAsia="zh-CN"/>
              </w:rPr>
              <w:t>，</w:t>
            </w:r>
            <w:r>
              <w:rPr>
                <w:rFonts w:hint="eastAsia" w:cs="Times New Roman"/>
                <w:color w:val="auto"/>
                <w:sz w:val="24"/>
                <w:highlight w:val="none"/>
                <w:lang w:val="en-US" w:eastAsia="zh-CN"/>
              </w:rPr>
              <w:t>有202.5t/a的</w:t>
            </w:r>
            <w:r>
              <w:rPr>
                <w:rFonts w:hint="default" w:ascii="Times New Roman" w:hAnsi="Times New Roman" w:cs="Times New Roman"/>
                <w:color w:val="auto"/>
                <w:sz w:val="24"/>
                <w:highlight w:val="none"/>
                <w:lang w:val="en-US" w:eastAsia="zh-CN"/>
              </w:rPr>
              <w:t>生产废水</w:t>
            </w:r>
            <w:r>
              <w:rPr>
                <w:rFonts w:hint="eastAsia" w:ascii="Times New Roman" w:hAnsi="Times New Roman" w:cs="Times New Roman"/>
                <w:color w:val="auto"/>
                <w:sz w:val="24"/>
                <w:highlight w:val="none"/>
                <w:lang w:val="en-US" w:eastAsia="zh-CN"/>
              </w:rPr>
              <w:t>排入车间污水处理设备处理后，</w:t>
            </w:r>
            <w:r>
              <w:rPr>
                <w:rFonts w:hint="default" w:ascii="Times New Roman" w:hAnsi="Times New Roman" w:cs="Times New Roman"/>
                <w:color w:val="auto"/>
                <w:sz w:val="24"/>
                <w:highlight w:val="none"/>
                <w:lang w:val="en-US" w:eastAsia="zh-CN"/>
              </w:rPr>
              <w:t>与生活污水</w:t>
            </w:r>
            <w:r>
              <w:rPr>
                <w:rFonts w:hint="eastAsia" w:cs="Times New Roman"/>
                <w:color w:val="auto"/>
                <w:sz w:val="24"/>
                <w:highlight w:val="none"/>
                <w:lang w:val="en-US" w:eastAsia="zh-CN"/>
              </w:rPr>
              <w:t>（128</w:t>
            </w:r>
            <w:r>
              <w:rPr>
                <w:rFonts w:hint="default" w:ascii="Times New Roman" w:hAnsi="Times New Roman" w:cs="Times New Roman"/>
                <w:color w:val="auto"/>
                <w:sz w:val="24"/>
                <w:highlight w:val="none"/>
                <w:lang w:val="en-US" w:eastAsia="zh-CN"/>
              </w:rPr>
              <w:t>t/a</w:t>
            </w:r>
            <w:r>
              <w:rPr>
                <w:rFonts w:hint="eastAsia" w:cs="Times New Roman"/>
                <w:color w:val="auto"/>
                <w:sz w:val="24"/>
                <w:highlight w:val="none"/>
                <w:lang w:val="en-US" w:eastAsia="zh-CN"/>
              </w:rPr>
              <w:t>）</w:t>
            </w:r>
            <w:r>
              <w:rPr>
                <w:rFonts w:hint="default" w:ascii="Times New Roman" w:hAnsi="Times New Roman" w:cs="Times New Roman"/>
                <w:color w:val="auto"/>
                <w:sz w:val="24"/>
                <w:highlight w:val="none"/>
                <w:lang w:val="en-US" w:eastAsia="zh-CN"/>
              </w:rPr>
              <w:t>一同经市政</w:t>
            </w:r>
            <w:r>
              <w:rPr>
                <w:rFonts w:hint="default" w:ascii="Times New Roman" w:hAnsi="Times New Roman" w:cs="Times New Roman"/>
                <w:bCs w:val="0"/>
                <w:color w:val="auto"/>
                <w:kern w:val="0"/>
                <w:sz w:val="24"/>
                <w:szCs w:val="22"/>
                <w:highlight w:val="none"/>
                <w:lang w:val="en-US" w:eastAsia="zh-CN" w:bidi="ar-SA"/>
              </w:rPr>
              <w:t>污水管网排至青岛海清环保科技有限公司污水处理厂进一步处理</w:t>
            </w:r>
            <w:r>
              <w:rPr>
                <w:rFonts w:hint="default" w:ascii="Times New Roman" w:hAnsi="Times New Roman" w:cs="Times New Roman"/>
                <w:color w:val="auto"/>
                <w:sz w:val="24"/>
                <w:highlight w:val="none"/>
              </w:rPr>
              <w:t>。</w:t>
            </w:r>
          </w:p>
          <w:p>
            <w:pPr>
              <w:keepNext w:val="0"/>
              <w:keepLines w:val="0"/>
              <w:pageBreakBefore w:val="0"/>
              <w:kinsoku/>
              <w:wordWrap/>
              <w:overflowPunct/>
              <w:topLinePunct w:val="0"/>
              <w:autoSpaceDE/>
              <w:autoSpaceDN/>
              <w:bidi w:val="0"/>
              <w:adjustRightInd w:val="0"/>
              <w:snapToGrid w:val="0"/>
              <w:spacing w:beforeAutospacing="0" w:afterAutospacing="0" w:line="360" w:lineRule="auto"/>
              <w:ind w:leftChars="0" w:firstLine="480" w:firstLineChars="200"/>
              <w:textAlignment w:val="auto"/>
              <w:rPr>
                <w:color w:val="auto"/>
                <w:sz w:val="24"/>
                <w:szCs w:val="20"/>
              </w:rPr>
            </w:pPr>
            <w:r>
              <w:rPr>
                <w:rFonts w:hint="eastAsia" w:cs="Times New Roman"/>
                <w:color w:val="auto"/>
                <w:sz w:val="24"/>
                <w:szCs w:val="24"/>
                <w:lang w:val="en-US" w:eastAsia="zh-CN"/>
              </w:rPr>
              <w:t>为远期发展规划，项目拟新建1套一体化污水处理设备，</w:t>
            </w:r>
            <w:r>
              <w:rPr>
                <w:rFonts w:hint="default" w:ascii="Times New Roman" w:hAnsi="Times New Roman" w:cs="Times New Roman"/>
                <w:color w:val="auto"/>
                <w:sz w:val="24"/>
                <w:szCs w:val="24"/>
              </w:rPr>
              <w:t>处理规模为</w:t>
            </w:r>
            <w:r>
              <w:rPr>
                <w:rFonts w:hint="eastAsia" w:cs="Times New Roman"/>
                <w:color w:val="auto"/>
                <w:sz w:val="24"/>
                <w:szCs w:val="24"/>
                <w:lang w:val="en-US" w:eastAsia="zh-CN"/>
              </w:rPr>
              <w:t>8</w:t>
            </w:r>
            <w:r>
              <w:rPr>
                <w:rFonts w:hint="default" w:ascii="Times New Roman" w:hAnsi="Times New Roman" w:cs="Times New Roman"/>
                <w:color w:val="auto"/>
                <w:sz w:val="24"/>
                <w:szCs w:val="24"/>
              </w:rPr>
              <w:t>m</w:t>
            </w:r>
            <w:r>
              <w:rPr>
                <w:rFonts w:hint="default" w:ascii="Times New Roman" w:hAnsi="Times New Roman" w:cs="Times New Roman"/>
                <w:color w:val="auto"/>
                <w:sz w:val="24"/>
                <w:szCs w:val="24"/>
                <w:vertAlign w:val="superscript"/>
              </w:rPr>
              <w:t>3</w:t>
            </w:r>
            <w:r>
              <w:rPr>
                <w:rFonts w:hint="default" w:ascii="Times New Roman" w:hAnsi="Times New Roman" w:cs="Times New Roman"/>
                <w:color w:val="auto"/>
                <w:sz w:val="24"/>
                <w:szCs w:val="24"/>
              </w:rPr>
              <w:t>/</w:t>
            </w:r>
            <w:r>
              <w:rPr>
                <w:rFonts w:hint="eastAsia" w:cs="Times New Roman"/>
                <w:color w:val="auto"/>
                <w:sz w:val="24"/>
                <w:szCs w:val="24"/>
                <w:lang w:val="en-US" w:eastAsia="zh-CN"/>
              </w:rPr>
              <w:t>d</w:t>
            </w:r>
            <w:r>
              <w:rPr>
                <w:rFonts w:hint="default" w:ascii="Times New Roman" w:hAnsi="Times New Roman" w:cs="Times New Roman"/>
                <w:color w:val="auto"/>
                <w:sz w:val="24"/>
                <w:szCs w:val="24"/>
              </w:rPr>
              <w:t>，采用</w:t>
            </w:r>
            <w:r>
              <w:rPr>
                <w:rFonts w:hint="eastAsia" w:ascii="Times New Roman" w:hAnsi="Times New Roman" w:cs="Times New Roman"/>
                <w:color w:val="auto"/>
                <w:sz w:val="24"/>
                <w:szCs w:val="24"/>
                <w:lang w:eastAsia="zh-CN"/>
              </w:rPr>
              <w:t>“</w:t>
            </w:r>
            <w:r>
              <w:rPr>
                <w:rFonts w:hint="eastAsia" w:cs="Times New Roman"/>
                <w:color w:val="auto"/>
                <w:sz w:val="24"/>
                <w:szCs w:val="24"/>
                <w:lang w:val="en-US" w:eastAsia="zh-CN"/>
              </w:rPr>
              <w:t>调节池</w:t>
            </w:r>
            <w:r>
              <w:rPr>
                <w:rFonts w:hint="eastAsia" w:ascii="Times New Roman" w:hAnsi="Times New Roman" w:cs="Times New Roman"/>
                <w:color w:val="auto"/>
                <w:sz w:val="24"/>
                <w:szCs w:val="24"/>
                <w:lang w:val="en-US" w:eastAsia="zh-CN"/>
              </w:rPr>
              <w:t>+</w:t>
            </w:r>
            <w:r>
              <w:rPr>
                <w:rFonts w:hint="eastAsia" w:cs="Times New Roman"/>
                <w:color w:val="auto"/>
                <w:sz w:val="24"/>
                <w:szCs w:val="24"/>
                <w:lang w:val="en-US" w:eastAsia="zh-CN"/>
              </w:rPr>
              <w:t>A2O</w:t>
            </w:r>
            <w:r>
              <w:rPr>
                <w:rFonts w:hint="eastAsia" w:ascii="Times New Roman" w:hAnsi="Times New Roman" w:cs="Times New Roman"/>
                <w:color w:val="auto"/>
                <w:sz w:val="24"/>
                <w:szCs w:val="24"/>
                <w:lang w:val="en-US" w:eastAsia="zh-CN"/>
              </w:rPr>
              <w:t>生化处理</w:t>
            </w:r>
            <w:r>
              <w:rPr>
                <w:rFonts w:hint="eastAsia" w:cs="Times New Roman"/>
                <w:color w:val="auto"/>
                <w:sz w:val="24"/>
                <w:szCs w:val="24"/>
                <w:lang w:val="en-US" w:eastAsia="zh-CN"/>
              </w:rPr>
              <w:t>+沉淀池</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val="en-US" w:eastAsia="zh-CN"/>
              </w:rPr>
              <w:t>工艺</w:t>
            </w:r>
            <w:r>
              <w:rPr>
                <w:bCs/>
                <w:color w:val="auto"/>
                <w:sz w:val="24"/>
              </w:rPr>
              <w:t>。</w:t>
            </w:r>
          </w:p>
          <w:p>
            <w:pPr>
              <w:adjustRightInd w:val="0"/>
              <w:snapToGrid w:val="0"/>
              <w:spacing w:line="360" w:lineRule="auto"/>
              <w:ind w:firstLine="480" w:firstLineChars="200"/>
              <w:rPr>
                <w:bCs/>
                <w:color w:val="auto"/>
                <w:sz w:val="24"/>
              </w:rPr>
            </w:pPr>
            <w:r>
              <w:rPr>
                <w:color w:val="auto"/>
                <w:sz w:val="24"/>
              </w:rPr>
              <w:t>污水</w:t>
            </w:r>
            <w:r>
              <w:rPr>
                <w:rFonts w:hint="eastAsia"/>
                <w:color w:val="auto"/>
                <w:sz w:val="24"/>
                <w:lang w:val="en-US" w:eastAsia="zh-CN"/>
              </w:rPr>
              <w:t>处理设施的</w:t>
            </w:r>
            <w:r>
              <w:rPr>
                <w:color w:val="auto"/>
                <w:sz w:val="24"/>
              </w:rPr>
              <w:t>处理工艺流程见图</w:t>
            </w:r>
            <w:r>
              <w:rPr>
                <w:rFonts w:hint="eastAsia"/>
                <w:color w:val="auto"/>
                <w:sz w:val="24"/>
                <w:lang w:val="en-US" w:eastAsia="zh-CN"/>
              </w:rPr>
              <w:t>3</w:t>
            </w:r>
            <w:r>
              <w:rPr>
                <w:color w:val="auto"/>
                <w:sz w:val="24"/>
              </w:rPr>
              <w:t>。</w:t>
            </w:r>
          </w:p>
          <w:p>
            <w:pPr>
              <w:adjustRightInd w:val="0"/>
              <w:snapToGrid w:val="0"/>
              <w:spacing w:line="360" w:lineRule="auto"/>
              <w:jc w:val="center"/>
              <w:rPr>
                <w:color w:val="auto"/>
              </w:rPr>
            </w:pPr>
            <w:r>
              <w:rPr>
                <w:color w:val="auto"/>
              </w:rPr>
              <w:object>
                <v:shape id="_x0000_i1027" o:spt="75" type="#_x0000_t75" style="height:149.85pt;width:434.15pt;" o:ole="t" filled="f" o:preferrelative="t" stroked="f" coordsize="21600,21600">
                  <v:path/>
                  <v:fill on="f" focussize="0,0"/>
                  <v:stroke on="f"/>
                  <v:imagedata r:id="rId13" cropleft="6951f" croptop="381f" o:title=""/>
                  <o:lock v:ext="edit" aspectratio="t"/>
                  <w10:wrap type="none"/>
                  <w10:anchorlock/>
                </v:shape>
                <o:OLEObject Type="Embed" ProgID="Visio.Drawing.11" ShapeID="_x0000_i1027" DrawAspect="Content" ObjectID="_1468075727" r:id="rId12">
                  <o:LockedField>false</o:LockedField>
                </o:OLEObject>
              </w:object>
            </w:r>
          </w:p>
          <w:p>
            <w:pPr>
              <w:adjustRightInd w:val="0"/>
              <w:snapToGrid w:val="0"/>
              <w:spacing w:line="360" w:lineRule="auto"/>
              <w:jc w:val="center"/>
              <w:rPr>
                <w:rFonts w:eastAsia="黑体"/>
                <w:color w:val="auto"/>
              </w:rPr>
            </w:pPr>
            <w:r>
              <w:rPr>
                <w:rFonts w:eastAsia="黑体"/>
                <w:color w:val="auto"/>
              </w:rPr>
              <w:t>图</w:t>
            </w:r>
            <w:r>
              <w:rPr>
                <w:rFonts w:hint="eastAsia" w:eastAsia="黑体"/>
                <w:color w:val="auto"/>
                <w:lang w:val="en-US" w:eastAsia="zh-CN"/>
              </w:rPr>
              <w:t>3</w:t>
            </w:r>
            <w:r>
              <w:rPr>
                <w:rFonts w:eastAsia="黑体"/>
                <w:color w:val="auto"/>
              </w:rPr>
              <w:t xml:space="preserve">  项目污水处理工艺流程图</w:t>
            </w:r>
          </w:p>
          <w:p>
            <w:pPr>
              <w:adjustRightInd w:val="0"/>
              <w:snapToGrid w:val="0"/>
              <w:spacing w:line="360" w:lineRule="auto"/>
              <w:ind w:firstLine="480" w:firstLineChars="200"/>
              <w:rPr>
                <w:rFonts w:hint="eastAsia"/>
                <w:color w:val="auto"/>
                <w:sz w:val="24"/>
                <w:lang w:val="en-US" w:eastAsia="zh-CN"/>
              </w:rPr>
            </w:pPr>
            <w:r>
              <w:rPr>
                <w:color w:val="auto"/>
                <w:sz w:val="24"/>
              </w:rPr>
              <w:fldChar w:fldCharType="begin"/>
            </w:r>
            <w:r>
              <w:rPr>
                <w:color w:val="auto"/>
                <w:sz w:val="24"/>
              </w:rPr>
              <w:instrText xml:space="preserve"> = 1 \* GB3 </w:instrText>
            </w:r>
            <w:r>
              <w:rPr>
                <w:color w:val="auto"/>
                <w:sz w:val="24"/>
              </w:rPr>
              <w:fldChar w:fldCharType="separate"/>
            </w:r>
            <w:r>
              <w:rPr>
                <w:color w:val="auto"/>
                <w:sz w:val="24"/>
              </w:rPr>
              <w:t>①</w:t>
            </w:r>
            <w:r>
              <w:rPr>
                <w:color w:val="auto"/>
                <w:sz w:val="24"/>
              </w:rPr>
              <w:fldChar w:fldCharType="end"/>
            </w:r>
            <w:r>
              <w:rPr>
                <w:color w:val="auto"/>
                <w:sz w:val="24"/>
              </w:rPr>
              <w:t>调节池：废水</w:t>
            </w:r>
            <w:r>
              <w:rPr>
                <w:rFonts w:hint="eastAsia"/>
                <w:color w:val="auto"/>
                <w:sz w:val="24"/>
                <w:lang w:val="en-US" w:eastAsia="zh-CN"/>
              </w:rPr>
              <w:t>进入</w:t>
            </w:r>
            <w:r>
              <w:rPr>
                <w:color w:val="auto"/>
                <w:sz w:val="24"/>
              </w:rPr>
              <w:t>污水处理站的调节池内，在调节池内进行水量调节、均匀水质、调节</w:t>
            </w:r>
            <w:r>
              <w:rPr>
                <w:rFonts w:hint="eastAsia"/>
                <w:color w:val="auto"/>
                <w:sz w:val="24"/>
                <w:lang w:val="en-US" w:eastAsia="zh-CN"/>
              </w:rPr>
              <w:t>p</w:t>
            </w:r>
            <w:r>
              <w:rPr>
                <w:color w:val="auto"/>
                <w:sz w:val="24"/>
              </w:rPr>
              <w:t>H</w:t>
            </w:r>
            <w:r>
              <w:rPr>
                <w:rFonts w:hint="eastAsia"/>
                <w:color w:val="auto"/>
                <w:sz w:val="24"/>
                <w:lang w:eastAsia="zh-CN"/>
              </w:rPr>
              <w:t>，</w:t>
            </w:r>
            <w:r>
              <w:rPr>
                <w:rFonts w:hint="eastAsia"/>
                <w:color w:val="auto"/>
                <w:sz w:val="24"/>
                <w:lang w:val="en-US" w:eastAsia="zh-CN"/>
              </w:rPr>
              <w:t>去除部分悬浮物；</w:t>
            </w:r>
          </w:p>
          <w:p>
            <w:pPr>
              <w:adjustRightInd w:val="0"/>
              <w:snapToGrid w:val="0"/>
              <w:spacing w:line="360" w:lineRule="auto"/>
              <w:ind w:firstLine="480" w:firstLineChars="200"/>
              <w:rPr>
                <w:rFonts w:hint="eastAsia"/>
                <w:color w:val="auto"/>
                <w:sz w:val="24"/>
                <w:lang w:val="en-US" w:eastAsia="zh-CN"/>
              </w:rPr>
            </w:pPr>
            <w:r>
              <w:rPr>
                <w:color w:val="auto"/>
                <w:sz w:val="24"/>
              </w:rPr>
              <w:fldChar w:fldCharType="begin"/>
            </w:r>
            <w:r>
              <w:rPr>
                <w:color w:val="auto"/>
                <w:sz w:val="24"/>
              </w:rPr>
              <w:instrText xml:space="preserve"> = 2 \* GB3 </w:instrText>
            </w:r>
            <w:r>
              <w:rPr>
                <w:color w:val="auto"/>
                <w:sz w:val="24"/>
              </w:rPr>
              <w:fldChar w:fldCharType="separate"/>
            </w:r>
            <w:r>
              <w:rPr>
                <w:color w:val="auto"/>
                <w:sz w:val="24"/>
              </w:rPr>
              <w:t>②</w:t>
            </w:r>
            <w:r>
              <w:rPr>
                <w:color w:val="auto"/>
                <w:sz w:val="24"/>
              </w:rPr>
              <w:fldChar w:fldCharType="end"/>
            </w:r>
            <w:r>
              <w:rPr>
                <w:rFonts w:hint="eastAsia"/>
                <w:color w:val="auto"/>
                <w:sz w:val="24"/>
                <w:lang w:val="en-US" w:eastAsia="zh-CN"/>
              </w:rPr>
              <w:t>生化池：项目采用A2O处理工艺，</w:t>
            </w:r>
            <w:r>
              <w:rPr>
                <w:color w:val="auto"/>
                <w:sz w:val="24"/>
              </w:rPr>
              <w:t>设置</w:t>
            </w:r>
            <w:r>
              <w:rPr>
                <w:rFonts w:hint="eastAsia"/>
                <w:color w:val="auto"/>
                <w:sz w:val="24"/>
                <w:lang w:val="en-US" w:eastAsia="zh-CN"/>
              </w:rPr>
              <w:t>厌</w:t>
            </w:r>
            <w:r>
              <w:rPr>
                <w:color w:val="auto"/>
                <w:sz w:val="24"/>
              </w:rPr>
              <w:t>氧池的目的是在</w:t>
            </w:r>
            <w:r>
              <w:rPr>
                <w:rFonts w:hint="eastAsia"/>
                <w:color w:val="auto"/>
                <w:sz w:val="24"/>
                <w:lang w:val="en-US" w:eastAsia="zh-CN"/>
              </w:rPr>
              <w:t>厌氧</w:t>
            </w:r>
            <w:r>
              <w:rPr>
                <w:color w:val="auto"/>
                <w:sz w:val="24"/>
              </w:rPr>
              <w:t>条件下</w:t>
            </w:r>
            <w:r>
              <w:rPr>
                <w:rFonts w:hint="eastAsia"/>
                <w:color w:val="auto"/>
                <w:sz w:val="24"/>
                <w:lang w:val="en-US" w:eastAsia="zh-CN"/>
              </w:rPr>
              <w:t>利用厌氧菌的作用，</w:t>
            </w:r>
            <w:r>
              <w:rPr>
                <w:color w:val="auto"/>
                <w:sz w:val="24"/>
              </w:rPr>
              <w:t>水解污水中的有机物，为后续好氧池的生物降解提供条件，缩短好氧时间</w:t>
            </w:r>
            <w:r>
              <w:rPr>
                <w:rFonts w:hint="eastAsia"/>
                <w:color w:val="auto"/>
                <w:sz w:val="24"/>
                <w:lang w:eastAsia="zh-CN"/>
              </w:rPr>
              <w:t>；</w:t>
            </w:r>
            <w:r>
              <w:rPr>
                <w:rFonts w:hint="eastAsia"/>
                <w:color w:val="auto"/>
                <w:sz w:val="24"/>
                <w:lang w:val="en-US" w:eastAsia="zh-CN"/>
              </w:rPr>
              <w:t>厌氧区出水自流至缺氧区，缺氧区中的反硝化菌利用原有的有机物和回流混合液中的硝酸根和亚硝酸根进行反硝化反应，生成氮气去除，已达到脱氮效果。缺氧区出水自流进入接触氧化区。废水中有机物经好氧池内好氧微生物的新城代谢作用得以降解。</w:t>
            </w:r>
          </w:p>
          <w:p>
            <w:pPr>
              <w:adjustRightInd w:val="0"/>
              <w:snapToGrid w:val="0"/>
              <w:spacing w:line="360" w:lineRule="auto"/>
              <w:ind w:firstLine="480" w:firstLineChars="200"/>
              <w:rPr>
                <w:color w:val="FF0000"/>
                <w:sz w:val="24"/>
                <w:szCs w:val="24"/>
              </w:rPr>
            </w:pPr>
            <w:r>
              <w:rPr>
                <w:color w:val="auto"/>
                <w:sz w:val="24"/>
              </w:rPr>
              <w:fldChar w:fldCharType="begin"/>
            </w:r>
            <w:r>
              <w:rPr>
                <w:color w:val="auto"/>
                <w:sz w:val="24"/>
              </w:rPr>
              <w:instrText xml:space="preserve"> = 3 \* GB3 </w:instrText>
            </w:r>
            <w:r>
              <w:rPr>
                <w:color w:val="auto"/>
                <w:sz w:val="24"/>
              </w:rPr>
              <w:fldChar w:fldCharType="separate"/>
            </w:r>
            <w:r>
              <w:rPr>
                <w:color w:val="auto"/>
                <w:sz w:val="24"/>
              </w:rPr>
              <w:t>③</w:t>
            </w:r>
            <w:r>
              <w:rPr>
                <w:color w:val="auto"/>
                <w:sz w:val="24"/>
              </w:rPr>
              <w:fldChar w:fldCharType="end"/>
            </w:r>
            <w:r>
              <w:rPr>
                <w:color w:val="auto"/>
                <w:sz w:val="24"/>
              </w:rPr>
              <w:t>沉淀池：</w:t>
            </w:r>
            <w:r>
              <w:rPr>
                <w:rFonts w:hint="eastAsia"/>
                <w:color w:val="auto"/>
                <w:sz w:val="24"/>
                <w:lang w:val="en-US" w:eastAsia="zh-CN"/>
              </w:rPr>
              <w:t>好氧池出水进入平流式沉淀池，底部设置集泥斗，污泥经回流泵回流至厌氧区，上清液自流至清水区</w:t>
            </w:r>
            <w:r>
              <w:rPr>
                <w:rFonts w:hint="eastAsia"/>
                <w:color w:val="auto"/>
                <w:sz w:val="24"/>
                <w:szCs w:val="24"/>
                <w:lang w:val="en-US" w:eastAsia="zh-CN"/>
              </w:rPr>
              <w:t>，出水排放至市政污水管网</w:t>
            </w:r>
            <w:r>
              <w:rPr>
                <w:color w:val="auto"/>
                <w:sz w:val="24"/>
                <w:szCs w:val="24"/>
              </w:rPr>
              <w:t>。</w:t>
            </w:r>
          </w:p>
          <w:p>
            <w:pPr>
              <w:adjustRightInd w:val="0"/>
              <w:snapToGrid w:val="0"/>
              <w:spacing w:line="360" w:lineRule="auto"/>
              <w:ind w:firstLine="480" w:firstLineChars="200"/>
              <w:rPr>
                <w:color w:val="auto"/>
                <w:sz w:val="24"/>
              </w:rPr>
            </w:pPr>
            <w:r>
              <w:rPr>
                <w:color w:val="auto"/>
                <w:sz w:val="24"/>
                <w:szCs w:val="24"/>
              </w:rPr>
              <w:fldChar w:fldCharType="begin"/>
            </w:r>
            <w:r>
              <w:rPr>
                <w:color w:val="auto"/>
                <w:sz w:val="24"/>
                <w:szCs w:val="24"/>
              </w:rPr>
              <w:instrText xml:space="preserve"> = 4 \* GB3 \* MERGEFORMAT </w:instrText>
            </w:r>
            <w:r>
              <w:rPr>
                <w:color w:val="auto"/>
                <w:sz w:val="24"/>
                <w:szCs w:val="24"/>
              </w:rPr>
              <w:fldChar w:fldCharType="separate"/>
            </w:r>
            <w:r>
              <w:rPr>
                <w:sz w:val="24"/>
                <w:szCs w:val="24"/>
              </w:rPr>
              <w:t>④</w:t>
            </w:r>
            <w:r>
              <w:rPr>
                <w:color w:val="auto"/>
                <w:sz w:val="24"/>
                <w:szCs w:val="24"/>
              </w:rPr>
              <w:fldChar w:fldCharType="end"/>
            </w:r>
            <w:r>
              <w:rPr>
                <w:color w:val="auto"/>
                <w:sz w:val="24"/>
              </w:rPr>
              <w:t>污泥浓缩池：</w:t>
            </w:r>
            <w:r>
              <w:rPr>
                <w:rFonts w:hint="eastAsia"/>
                <w:color w:val="auto"/>
                <w:sz w:val="24"/>
                <w:lang w:val="en-US" w:eastAsia="zh-CN"/>
              </w:rPr>
              <w:t>生化池、沉淀池</w:t>
            </w:r>
            <w:r>
              <w:rPr>
                <w:color w:val="auto"/>
                <w:sz w:val="24"/>
              </w:rPr>
              <w:t>产生的污泥，</w:t>
            </w:r>
            <w:r>
              <w:rPr>
                <w:rFonts w:hint="eastAsia"/>
                <w:color w:val="auto"/>
                <w:sz w:val="24"/>
                <w:lang w:val="en-US" w:eastAsia="zh-CN"/>
              </w:rPr>
              <w:t>由污泥泵</w:t>
            </w:r>
            <w:r>
              <w:rPr>
                <w:color w:val="auto"/>
                <w:sz w:val="24"/>
              </w:rPr>
              <w:t>排至污泥浓缩池储存，</w:t>
            </w:r>
            <w:r>
              <w:rPr>
                <w:rFonts w:hint="eastAsia"/>
                <w:color w:val="auto"/>
                <w:sz w:val="24"/>
                <w:lang w:val="en-US" w:eastAsia="zh-CN"/>
              </w:rPr>
              <w:t>浓缩后的污泥由城市环卫部门定期清运，上清液回流至调节池</w:t>
            </w:r>
            <w:r>
              <w:rPr>
                <w:color w:val="auto"/>
                <w:sz w:val="24"/>
              </w:rPr>
              <w:t>。</w:t>
            </w:r>
          </w:p>
          <w:p>
            <w:pPr>
              <w:adjustRightInd w:val="0"/>
              <w:snapToGrid w:val="0"/>
              <w:spacing w:line="360" w:lineRule="auto"/>
              <w:ind w:firstLine="480" w:firstLineChars="200"/>
              <w:rPr>
                <w:color w:val="auto"/>
                <w:sz w:val="24"/>
              </w:rPr>
            </w:pPr>
            <w:r>
              <w:rPr>
                <w:color w:val="auto"/>
                <w:sz w:val="24"/>
              </w:rPr>
              <w:t>污水处理站设计进出水水质见表</w:t>
            </w:r>
            <w:r>
              <w:rPr>
                <w:rFonts w:hint="eastAsia"/>
                <w:color w:val="auto"/>
                <w:sz w:val="24"/>
                <w:lang w:val="en-US" w:eastAsia="zh-CN"/>
              </w:rPr>
              <w:t>9</w:t>
            </w:r>
            <w:r>
              <w:rPr>
                <w:color w:val="auto"/>
                <w:sz w:val="24"/>
              </w:rPr>
              <w:t>。</w:t>
            </w:r>
          </w:p>
          <w:p>
            <w:pPr>
              <w:adjustRightInd w:val="0"/>
              <w:snapToGrid w:val="0"/>
              <w:spacing w:line="360" w:lineRule="auto"/>
              <w:jc w:val="center"/>
              <w:rPr>
                <w:rFonts w:eastAsia="黑体"/>
                <w:color w:val="auto"/>
                <w:szCs w:val="21"/>
              </w:rPr>
            </w:pPr>
            <w:r>
              <w:rPr>
                <w:rFonts w:eastAsia="黑体"/>
                <w:color w:val="auto"/>
                <w:szCs w:val="21"/>
              </w:rPr>
              <w:t>表</w:t>
            </w:r>
            <w:r>
              <w:rPr>
                <w:rFonts w:hint="eastAsia" w:eastAsia="黑体"/>
                <w:color w:val="auto"/>
                <w:szCs w:val="21"/>
                <w:lang w:val="en-US" w:eastAsia="zh-CN"/>
              </w:rPr>
              <w:t xml:space="preserve">9 </w:t>
            </w:r>
            <w:r>
              <w:rPr>
                <w:rFonts w:eastAsia="黑体"/>
                <w:color w:val="auto"/>
                <w:szCs w:val="21"/>
              </w:rPr>
              <w:t>污水处理站的设计进出水水质一览表（单位：mg/L）</w:t>
            </w:r>
          </w:p>
          <w:tbl>
            <w:tblPr>
              <w:tblStyle w:val="37"/>
              <w:tblW w:w="4998" w:type="pct"/>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19"/>
              <w:gridCol w:w="1416"/>
              <w:gridCol w:w="1632"/>
              <w:gridCol w:w="792"/>
              <w:gridCol w:w="9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2247" w:type="pct"/>
                  <w:noWrap w:val="0"/>
                  <w:vAlign w:val="center"/>
                </w:tcPr>
                <w:p>
                  <w:pPr>
                    <w:adjustRightInd w:val="0"/>
                    <w:snapToGrid w:val="0"/>
                    <w:jc w:val="center"/>
                    <w:rPr>
                      <w:color w:val="auto"/>
                      <w:szCs w:val="21"/>
                    </w:rPr>
                  </w:pPr>
                  <w:r>
                    <w:rPr>
                      <w:color w:val="auto"/>
                      <w:szCs w:val="21"/>
                    </w:rPr>
                    <w:t>项目</w:t>
                  </w:r>
                </w:p>
              </w:tc>
              <w:tc>
                <w:tcPr>
                  <w:tcW w:w="812" w:type="pct"/>
                  <w:noWrap w:val="0"/>
                  <w:vAlign w:val="center"/>
                </w:tcPr>
                <w:p>
                  <w:pPr>
                    <w:adjustRightInd w:val="0"/>
                    <w:snapToGrid w:val="0"/>
                    <w:jc w:val="center"/>
                    <w:rPr>
                      <w:color w:val="auto"/>
                      <w:szCs w:val="21"/>
                    </w:rPr>
                  </w:pPr>
                  <w:r>
                    <w:rPr>
                      <w:color w:val="auto"/>
                      <w:szCs w:val="21"/>
                    </w:rPr>
                    <w:t>COD</w:t>
                  </w:r>
                  <w:r>
                    <w:rPr>
                      <w:color w:val="auto"/>
                      <w:szCs w:val="21"/>
                      <w:vertAlign w:val="subscript"/>
                    </w:rPr>
                    <w:t>Cr</w:t>
                  </w:r>
                </w:p>
              </w:tc>
              <w:tc>
                <w:tcPr>
                  <w:tcW w:w="936" w:type="pct"/>
                  <w:noWrap w:val="0"/>
                  <w:vAlign w:val="center"/>
                </w:tcPr>
                <w:p>
                  <w:pPr>
                    <w:adjustRightInd w:val="0"/>
                    <w:snapToGrid w:val="0"/>
                    <w:jc w:val="center"/>
                    <w:rPr>
                      <w:color w:val="auto"/>
                      <w:szCs w:val="21"/>
                    </w:rPr>
                  </w:pPr>
                  <w:r>
                    <w:rPr>
                      <w:color w:val="auto"/>
                      <w:szCs w:val="21"/>
                    </w:rPr>
                    <w:t>BOD</w:t>
                  </w:r>
                  <w:r>
                    <w:rPr>
                      <w:color w:val="auto"/>
                      <w:szCs w:val="21"/>
                      <w:vertAlign w:val="subscript"/>
                    </w:rPr>
                    <w:t>5</w:t>
                  </w:r>
                </w:p>
              </w:tc>
              <w:tc>
                <w:tcPr>
                  <w:tcW w:w="454" w:type="pct"/>
                  <w:noWrap w:val="0"/>
                  <w:vAlign w:val="center"/>
                </w:tcPr>
                <w:p>
                  <w:pPr>
                    <w:adjustRightInd w:val="0"/>
                    <w:snapToGrid w:val="0"/>
                    <w:jc w:val="center"/>
                    <w:rPr>
                      <w:color w:val="auto"/>
                      <w:szCs w:val="21"/>
                    </w:rPr>
                  </w:pPr>
                  <w:r>
                    <w:rPr>
                      <w:color w:val="auto"/>
                      <w:szCs w:val="21"/>
                    </w:rPr>
                    <w:t>SS</w:t>
                  </w:r>
                </w:p>
              </w:tc>
              <w:tc>
                <w:tcPr>
                  <w:tcW w:w="549" w:type="pct"/>
                  <w:noWrap w:val="0"/>
                  <w:vAlign w:val="center"/>
                </w:tcPr>
                <w:p>
                  <w:pPr>
                    <w:adjustRightInd w:val="0"/>
                    <w:snapToGrid w:val="0"/>
                    <w:jc w:val="center"/>
                    <w:rPr>
                      <w:color w:val="auto"/>
                      <w:szCs w:val="21"/>
                    </w:rPr>
                  </w:pPr>
                  <w:r>
                    <w:rPr>
                      <w:color w:val="auto"/>
                      <w:szCs w:val="21"/>
                    </w:rPr>
                    <w:t>氨氮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trPr>
              <w:tc>
                <w:tcPr>
                  <w:tcW w:w="2247" w:type="pct"/>
                  <w:noWrap w:val="0"/>
                  <w:vAlign w:val="center"/>
                </w:tcPr>
                <w:p>
                  <w:pPr>
                    <w:adjustRightInd w:val="0"/>
                    <w:snapToGrid w:val="0"/>
                    <w:jc w:val="center"/>
                    <w:rPr>
                      <w:color w:val="auto"/>
                      <w:szCs w:val="21"/>
                    </w:rPr>
                  </w:pPr>
                  <w:r>
                    <w:rPr>
                      <w:color w:val="auto"/>
                      <w:szCs w:val="21"/>
                    </w:rPr>
                    <w:t>设计进水水质</w:t>
                  </w:r>
                </w:p>
              </w:tc>
              <w:tc>
                <w:tcPr>
                  <w:tcW w:w="812" w:type="pct"/>
                  <w:noWrap w:val="0"/>
                  <w:vAlign w:val="center"/>
                </w:tcPr>
                <w:p>
                  <w:pPr>
                    <w:adjustRightInd w:val="0"/>
                    <w:snapToGrid w:val="0"/>
                    <w:jc w:val="center"/>
                    <w:rPr>
                      <w:rFonts w:hint="default" w:eastAsia="宋体"/>
                      <w:color w:val="auto"/>
                      <w:szCs w:val="21"/>
                      <w:lang w:val="en-US" w:eastAsia="zh-CN"/>
                    </w:rPr>
                  </w:pPr>
                  <w:r>
                    <w:rPr>
                      <w:rFonts w:hint="eastAsia"/>
                      <w:color w:val="auto"/>
                      <w:szCs w:val="21"/>
                      <w:lang w:val="en-US" w:eastAsia="zh-CN"/>
                    </w:rPr>
                    <w:t>1500</w:t>
                  </w:r>
                </w:p>
              </w:tc>
              <w:tc>
                <w:tcPr>
                  <w:tcW w:w="936" w:type="pct"/>
                  <w:noWrap w:val="0"/>
                  <w:vAlign w:val="center"/>
                </w:tcPr>
                <w:p>
                  <w:pPr>
                    <w:adjustRightInd w:val="0"/>
                    <w:snapToGrid w:val="0"/>
                    <w:jc w:val="center"/>
                    <w:rPr>
                      <w:color w:val="auto"/>
                      <w:szCs w:val="21"/>
                    </w:rPr>
                  </w:pPr>
                  <w:r>
                    <w:rPr>
                      <w:color w:val="auto"/>
                      <w:szCs w:val="21"/>
                    </w:rPr>
                    <w:t>500</w:t>
                  </w:r>
                </w:p>
              </w:tc>
              <w:tc>
                <w:tcPr>
                  <w:tcW w:w="454" w:type="pct"/>
                  <w:noWrap w:val="0"/>
                  <w:vAlign w:val="center"/>
                </w:tcPr>
                <w:p>
                  <w:pPr>
                    <w:adjustRightInd w:val="0"/>
                    <w:snapToGrid w:val="0"/>
                    <w:jc w:val="center"/>
                    <w:rPr>
                      <w:color w:val="auto"/>
                      <w:szCs w:val="21"/>
                    </w:rPr>
                  </w:pPr>
                  <w:r>
                    <w:rPr>
                      <w:color w:val="auto"/>
                      <w:szCs w:val="21"/>
                    </w:rPr>
                    <w:t>500</w:t>
                  </w:r>
                </w:p>
              </w:tc>
              <w:tc>
                <w:tcPr>
                  <w:tcW w:w="549" w:type="pct"/>
                  <w:noWrap w:val="0"/>
                  <w:vAlign w:val="center"/>
                </w:tcPr>
                <w:p>
                  <w:pPr>
                    <w:adjustRightInd w:val="0"/>
                    <w:snapToGrid w:val="0"/>
                    <w:jc w:val="center"/>
                    <w:rPr>
                      <w:color w:val="auto"/>
                      <w:szCs w:val="21"/>
                    </w:rPr>
                  </w:pPr>
                  <w:r>
                    <w:rPr>
                      <w:color w:val="auto"/>
                      <w:szCs w:val="21"/>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247" w:type="pct"/>
                  <w:noWrap w:val="0"/>
                  <w:vAlign w:val="center"/>
                </w:tcPr>
                <w:p>
                  <w:pPr>
                    <w:adjustRightInd w:val="0"/>
                    <w:snapToGrid w:val="0"/>
                    <w:jc w:val="center"/>
                    <w:rPr>
                      <w:rFonts w:hint="default" w:eastAsia="宋体"/>
                      <w:color w:val="auto"/>
                      <w:szCs w:val="21"/>
                      <w:lang w:val="en-US" w:eastAsia="zh-CN"/>
                    </w:rPr>
                  </w:pPr>
                  <w:r>
                    <w:rPr>
                      <w:color w:val="auto"/>
                      <w:szCs w:val="21"/>
                    </w:rPr>
                    <w:t>设计出水水质</w:t>
                  </w:r>
                  <w:r>
                    <w:rPr>
                      <w:rFonts w:hint="eastAsia"/>
                      <w:color w:val="auto"/>
                      <w:szCs w:val="21"/>
                      <w:lang w:eastAsia="zh-CN"/>
                    </w:rPr>
                    <w:t>：</w:t>
                  </w:r>
                  <w:r>
                    <w:rPr>
                      <w:rFonts w:hint="default"/>
                      <w:color w:val="auto"/>
                      <w:szCs w:val="21"/>
                      <w:lang w:eastAsia="zh-CN"/>
                    </w:rPr>
                    <w:t>《污水排入城镇下水道水质标准》</w:t>
                  </w:r>
                  <w:r>
                    <w:rPr>
                      <w:rFonts w:hint="eastAsia"/>
                      <w:color w:val="auto"/>
                      <w:szCs w:val="21"/>
                      <w:lang w:eastAsia="zh-CN"/>
                    </w:rPr>
                    <w:t>（GB/T31962-2015）</w:t>
                  </w:r>
                  <w:r>
                    <w:rPr>
                      <w:rFonts w:hint="eastAsia"/>
                      <w:color w:val="auto"/>
                      <w:szCs w:val="21"/>
                      <w:lang w:val="en-US" w:eastAsia="zh-CN"/>
                    </w:rPr>
                    <w:t>B级标准</w:t>
                  </w:r>
                </w:p>
              </w:tc>
              <w:tc>
                <w:tcPr>
                  <w:tcW w:w="812" w:type="pct"/>
                  <w:noWrap w:val="0"/>
                  <w:vAlign w:val="center"/>
                </w:tcPr>
                <w:p>
                  <w:pPr>
                    <w:adjustRightInd w:val="0"/>
                    <w:snapToGrid w:val="0"/>
                    <w:jc w:val="center"/>
                    <w:rPr>
                      <w:rFonts w:hint="default" w:ascii="Times New Roman" w:hAnsi="Times New Roman" w:eastAsia="宋体" w:cs="Times New Roman"/>
                      <w:color w:val="auto"/>
                      <w:kern w:val="2"/>
                      <w:sz w:val="21"/>
                      <w:szCs w:val="21"/>
                      <w:lang w:val="en-US" w:eastAsia="zh-CN" w:bidi="ar-SA"/>
                    </w:rPr>
                  </w:pPr>
                  <w:r>
                    <w:rPr>
                      <w:rFonts w:hint="eastAsia"/>
                      <w:color w:val="auto"/>
                      <w:szCs w:val="21"/>
                      <w:lang w:val="en-US" w:eastAsia="zh-CN"/>
                    </w:rPr>
                    <w:t>500</w:t>
                  </w:r>
                </w:p>
              </w:tc>
              <w:tc>
                <w:tcPr>
                  <w:tcW w:w="936" w:type="pct"/>
                  <w:noWrap w:val="0"/>
                  <w:vAlign w:val="center"/>
                </w:tcPr>
                <w:p>
                  <w:pPr>
                    <w:adjustRightInd w:val="0"/>
                    <w:snapToGrid w:val="0"/>
                    <w:jc w:val="center"/>
                    <w:rPr>
                      <w:rFonts w:hint="default" w:ascii="Times New Roman" w:hAnsi="Times New Roman" w:eastAsia="宋体" w:cs="Times New Roman"/>
                      <w:color w:val="auto"/>
                      <w:kern w:val="2"/>
                      <w:sz w:val="21"/>
                      <w:szCs w:val="21"/>
                      <w:lang w:val="en-US" w:eastAsia="zh-CN" w:bidi="ar-SA"/>
                    </w:rPr>
                  </w:pPr>
                  <w:r>
                    <w:rPr>
                      <w:rFonts w:hint="eastAsia"/>
                      <w:color w:val="auto"/>
                      <w:szCs w:val="21"/>
                      <w:lang w:val="en-US" w:eastAsia="zh-CN"/>
                    </w:rPr>
                    <w:t>350</w:t>
                  </w:r>
                </w:p>
              </w:tc>
              <w:tc>
                <w:tcPr>
                  <w:tcW w:w="454" w:type="pct"/>
                  <w:noWrap w:val="0"/>
                  <w:vAlign w:val="center"/>
                </w:tcPr>
                <w:p>
                  <w:pPr>
                    <w:adjustRightInd w:val="0"/>
                    <w:snapToGrid w:val="0"/>
                    <w:jc w:val="center"/>
                    <w:rPr>
                      <w:rFonts w:hint="default" w:ascii="Times New Roman" w:hAnsi="Times New Roman" w:eastAsia="宋体" w:cs="Times New Roman"/>
                      <w:color w:val="auto"/>
                      <w:kern w:val="2"/>
                      <w:sz w:val="21"/>
                      <w:szCs w:val="21"/>
                      <w:lang w:val="en-US" w:eastAsia="zh-CN" w:bidi="ar-SA"/>
                    </w:rPr>
                  </w:pPr>
                  <w:r>
                    <w:rPr>
                      <w:rFonts w:hint="eastAsia"/>
                      <w:color w:val="auto"/>
                      <w:szCs w:val="21"/>
                      <w:lang w:val="en-US" w:eastAsia="zh-CN"/>
                    </w:rPr>
                    <w:t>400</w:t>
                  </w:r>
                </w:p>
              </w:tc>
              <w:tc>
                <w:tcPr>
                  <w:tcW w:w="549" w:type="pct"/>
                  <w:noWrap w:val="0"/>
                  <w:vAlign w:val="center"/>
                </w:tcPr>
                <w:p>
                  <w:pPr>
                    <w:adjustRightInd w:val="0"/>
                    <w:snapToGrid w:val="0"/>
                    <w:jc w:val="center"/>
                    <w:rPr>
                      <w:rFonts w:ascii="Times New Roman" w:hAnsi="Times New Roman" w:eastAsia="宋体" w:cs="Times New Roman"/>
                      <w:color w:val="auto"/>
                      <w:kern w:val="2"/>
                      <w:sz w:val="21"/>
                      <w:szCs w:val="21"/>
                      <w:lang w:val="en-US" w:eastAsia="zh-CN" w:bidi="ar-SA"/>
                    </w:rPr>
                  </w:pPr>
                  <w:r>
                    <w:rPr>
                      <w:color w:val="auto"/>
                      <w:szCs w:val="21"/>
                    </w:rPr>
                    <w:t>45</w:t>
                  </w:r>
                </w:p>
              </w:tc>
            </w:tr>
          </w:tbl>
          <w:p>
            <w:pPr>
              <w:pStyle w:val="186"/>
              <w:keepNext w:val="0"/>
              <w:keepLines w:val="0"/>
              <w:pageBreakBefore w:val="0"/>
              <w:widowControl w:val="0"/>
              <w:kinsoku/>
              <w:wordWrap/>
              <w:overflowPunct/>
              <w:topLinePunct w:val="0"/>
              <w:autoSpaceDE/>
              <w:autoSpaceDN/>
              <w:bidi w:val="0"/>
              <w:adjustRightInd w:val="0"/>
              <w:snapToGrid w:val="0"/>
              <w:spacing w:after="0" w:afterLines="0"/>
              <w:textAlignment w:val="auto"/>
              <w:rPr>
                <w:rFonts w:ascii="Times New Roman" w:hAnsi="Times New Roman" w:cs="Times New Roman"/>
                <w:color w:val="auto"/>
                <w:sz w:val="24"/>
                <w:szCs w:val="24"/>
                <w:lang w:val="en-US" w:eastAsia="zh-CN"/>
              </w:rPr>
            </w:pPr>
            <w:r>
              <w:rPr>
                <w:rFonts w:ascii="Times New Roman" w:hAnsi="Times New Roman" w:cs="Times New Roman"/>
                <w:color w:val="auto"/>
                <w:lang w:val="en-US" w:eastAsia="zh-CN"/>
              </w:rPr>
              <w:t>项目污水处理站采用的处理工艺比较成熟，</w:t>
            </w:r>
            <w:r>
              <w:rPr>
                <w:rFonts w:hint="eastAsia" w:ascii="Times New Roman" w:cs="Times New Roman"/>
                <w:color w:val="auto"/>
                <w:lang w:val="en-US" w:eastAsia="zh-CN"/>
              </w:rPr>
              <w:t>出水可以</w:t>
            </w:r>
            <w:r>
              <w:rPr>
                <w:rFonts w:hint="default" w:ascii="Times New Roman" w:hAnsi="Times New Roman" w:cs="Times New Roman"/>
                <w:b w:val="0"/>
                <w:bCs w:val="0"/>
                <w:color w:val="auto"/>
                <w:sz w:val="24"/>
                <w:szCs w:val="22"/>
                <w:lang w:val="en-US" w:eastAsia="zh-CN"/>
              </w:rPr>
              <w:t>满</w:t>
            </w:r>
            <w:r>
              <w:rPr>
                <w:rFonts w:hint="default" w:ascii="Times New Roman" w:hAnsi="Times New Roman" w:cs="Times New Roman"/>
                <w:color w:val="auto"/>
                <w:lang w:val="en-US" w:eastAsia="zh-CN"/>
              </w:rPr>
              <w:t>足</w:t>
            </w:r>
            <w:r>
              <w:rPr>
                <w:rFonts w:hint="default" w:ascii="Times New Roman" w:hAnsi="Times New Roman" w:cs="Times New Roman"/>
                <w:color w:val="auto"/>
                <w:sz w:val="24"/>
              </w:rPr>
              <w:t>《污水排入</w:t>
            </w:r>
            <w:r>
              <w:rPr>
                <w:rFonts w:hint="default" w:ascii="Times New Roman" w:hAnsi="Times New Roman" w:cs="Times New Roman"/>
                <w:b w:val="0"/>
                <w:bCs w:val="0"/>
                <w:color w:val="auto"/>
                <w:sz w:val="24"/>
              </w:rPr>
              <w:t>城</w:t>
            </w:r>
            <w:r>
              <w:rPr>
                <w:rFonts w:hint="default" w:ascii="Times New Roman" w:hAnsi="Times New Roman" w:cs="Times New Roman"/>
                <w:color w:val="auto"/>
                <w:sz w:val="24"/>
              </w:rPr>
              <w:t>镇下水道水质标准》（GB/T31962-2015）中B</w:t>
            </w:r>
            <w:r>
              <w:rPr>
                <w:color w:val="auto"/>
                <w:sz w:val="24"/>
              </w:rPr>
              <w:t>级标准</w:t>
            </w:r>
            <w:r>
              <w:rPr>
                <w:rFonts w:hint="eastAsia"/>
                <w:color w:val="auto"/>
                <w:sz w:val="24"/>
                <w:lang w:val="en-US" w:eastAsia="zh-CN"/>
              </w:rPr>
              <w:t>，该项目</w:t>
            </w:r>
            <w:r>
              <w:rPr>
                <w:rFonts w:hint="eastAsia" w:ascii="Times New Roman" w:hAnsi="Times New Roman" w:cs="Times New Roman"/>
                <w:color w:val="auto"/>
                <w:lang w:val="en-US" w:eastAsia="zh-CN"/>
              </w:rPr>
              <w:t>污水处理方案可行。</w:t>
            </w:r>
            <w:r>
              <w:rPr>
                <w:rFonts w:ascii="Times New Roman" w:hAnsi="Times New Roman" w:cs="Times New Roman"/>
                <w:color w:val="auto"/>
                <w:lang w:val="en-US" w:eastAsia="zh-CN"/>
              </w:rPr>
              <w:t>经计算，</w:t>
            </w:r>
            <w:r>
              <w:rPr>
                <w:rFonts w:hint="eastAsia" w:ascii="Times New Roman" w:cs="Times New Roman"/>
                <w:color w:val="auto"/>
                <w:lang w:val="en-US" w:eastAsia="zh-CN"/>
              </w:rPr>
              <w:t>该项目生产废水</w:t>
            </w:r>
            <w:r>
              <w:rPr>
                <w:rFonts w:ascii="Times New Roman" w:hAnsi="Times New Roman" w:cs="Times New Roman"/>
                <w:color w:val="auto"/>
                <w:lang w:val="en-US" w:eastAsia="zh-CN"/>
              </w:rPr>
              <w:t>排放量为</w:t>
            </w:r>
            <w:r>
              <w:rPr>
                <w:rFonts w:hint="eastAsia" w:ascii="Times New Roman" w:cs="Times New Roman"/>
                <w:color w:val="auto"/>
                <w:lang w:val="en-US" w:eastAsia="zh-CN"/>
              </w:rPr>
              <w:t>202.5</w:t>
            </w:r>
            <w:r>
              <w:rPr>
                <w:rFonts w:ascii="Times New Roman" w:hAnsi="Times New Roman" w:cs="Times New Roman"/>
                <w:color w:val="auto"/>
                <w:lang w:val="en-US" w:eastAsia="zh-CN"/>
              </w:rPr>
              <w:t>t/a，厂区污水处理站处理后，</w:t>
            </w:r>
            <w:r>
              <w:rPr>
                <w:rFonts w:hint="eastAsia" w:ascii="Times New Roman" w:cs="Times New Roman"/>
                <w:color w:val="auto"/>
                <w:lang w:val="en-US" w:eastAsia="zh-CN"/>
              </w:rPr>
              <w:t>生产</w:t>
            </w:r>
            <w:r>
              <w:rPr>
                <w:rFonts w:ascii="Times New Roman" w:hAnsi="Times New Roman" w:cs="Times New Roman"/>
                <w:color w:val="auto"/>
                <w:lang w:val="en-US" w:eastAsia="zh-CN"/>
              </w:rPr>
              <w:t>废水</w:t>
            </w:r>
            <w:r>
              <w:rPr>
                <w:rFonts w:ascii="Times New Roman" w:hAnsi="Times New Roman" w:cs="Times New Roman"/>
                <w:color w:val="auto"/>
                <w:sz w:val="24"/>
                <w:szCs w:val="24"/>
                <w:lang w:val="en-US" w:eastAsia="zh-CN"/>
              </w:rPr>
              <w:t>污染物接管量分别为COD</w:t>
            </w:r>
            <w:r>
              <w:rPr>
                <w:rFonts w:ascii="Times New Roman" w:hAnsi="Times New Roman" w:cs="Times New Roman"/>
                <w:color w:val="auto"/>
                <w:sz w:val="24"/>
                <w:szCs w:val="24"/>
                <w:vertAlign w:val="subscript"/>
                <w:lang w:val="en-US" w:eastAsia="zh-CN"/>
              </w:rPr>
              <w:t>Cr</w:t>
            </w:r>
            <w:r>
              <w:rPr>
                <w:rFonts w:ascii="Times New Roman" w:hAnsi="Times New Roman" w:cs="Times New Roman"/>
                <w:color w:val="auto"/>
                <w:sz w:val="24"/>
                <w:szCs w:val="24"/>
                <w:lang w:val="en-US" w:eastAsia="zh-CN"/>
              </w:rPr>
              <w:t>：</w:t>
            </w:r>
            <w:r>
              <w:rPr>
                <w:rFonts w:hint="eastAsia" w:ascii="Times New Roman" w:cs="Times New Roman"/>
                <w:color w:val="auto"/>
                <w:sz w:val="24"/>
                <w:szCs w:val="24"/>
                <w:lang w:val="en-US" w:eastAsia="zh-CN"/>
              </w:rPr>
              <w:t>0.1</w:t>
            </w:r>
            <w:r>
              <w:rPr>
                <w:rFonts w:ascii="Times New Roman" w:hAnsi="Times New Roman" w:cs="Times New Roman"/>
                <w:color w:val="auto"/>
                <w:sz w:val="24"/>
                <w:szCs w:val="24"/>
                <w:lang w:val="en-US" w:eastAsia="zh-CN"/>
              </w:rPr>
              <w:t>t/a，BOD</w:t>
            </w:r>
            <w:r>
              <w:rPr>
                <w:rFonts w:ascii="Times New Roman" w:hAnsi="Times New Roman" w:cs="Times New Roman"/>
                <w:color w:val="auto"/>
                <w:sz w:val="24"/>
                <w:szCs w:val="24"/>
                <w:vertAlign w:val="subscript"/>
                <w:lang w:val="en-US" w:eastAsia="zh-CN"/>
              </w:rPr>
              <w:t>5</w:t>
            </w:r>
            <w:r>
              <w:rPr>
                <w:rFonts w:ascii="Times New Roman" w:hAnsi="Times New Roman" w:cs="Times New Roman"/>
                <w:color w:val="auto"/>
                <w:sz w:val="24"/>
                <w:szCs w:val="24"/>
                <w:lang w:val="en-US" w:eastAsia="zh-CN"/>
              </w:rPr>
              <w:t>：</w:t>
            </w:r>
            <w:r>
              <w:rPr>
                <w:rFonts w:hint="eastAsia" w:ascii="Times New Roman" w:cs="Times New Roman"/>
                <w:color w:val="auto"/>
                <w:sz w:val="24"/>
                <w:szCs w:val="24"/>
                <w:lang w:val="en-US" w:eastAsia="zh-CN"/>
              </w:rPr>
              <w:t>0.07</w:t>
            </w:r>
            <w:r>
              <w:rPr>
                <w:rFonts w:ascii="Times New Roman" w:hAnsi="Times New Roman" w:cs="Times New Roman"/>
                <w:color w:val="auto"/>
                <w:sz w:val="24"/>
                <w:szCs w:val="24"/>
                <w:lang w:val="en-US" w:eastAsia="zh-CN"/>
              </w:rPr>
              <w:t>t/a、SS：</w:t>
            </w:r>
            <w:r>
              <w:rPr>
                <w:rFonts w:hint="eastAsia" w:ascii="Times New Roman" w:cs="Times New Roman"/>
                <w:color w:val="auto"/>
                <w:sz w:val="24"/>
                <w:szCs w:val="24"/>
                <w:lang w:val="en-US" w:eastAsia="zh-CN"/>
              </w:rPr>
              <w:t>0.081t/</w:t>
            </w:r>
            <w:r>
              <w:rPr>
                <w:rFonts w:ascii="Times New Roman" w:hAnsi="Times New Roman" w:cs="Times New Roman"/>
                <w:color w:val="auto"/>
                <w:sz w:val="24"/>
                <w:szCs w:val="24"/>
                <w:lang w:val="en-US" w:eastAsia="zh-CN"/>
              </w:rPr>
              <w:t>a、氨氮：</w:t>
            </w:r>
            <w:r>
              <w:rPr>
                <w:rFonts w:hint="eastAsia" w:ascii="Times New Roman" w:cs="Times New Roman"/>
                <w:color w:val="auto"/>
                <w:sz w:val="24"/>
                <w:szCs w:val="24"/>
                <w:lang w:val="en-US" w:eastAsia="zh-CN"/>
              </w:rPr>
              <w:t>0.0053</w:t>
            </w:r>
            <w:r>
              <w:rPr>
                <w:rFonts w:ascii="Times New Roman" w:hAnsi="Times New Roman" w:cs="Times New Roman"/>
                <w:color w:val="auto"/>
                <w:sz w:val="24"/>
                <w:szCs w:val="24"/>
                <w:lang w:val="en-US" w:eastAsia="zh-CN"/>
              </w:rPr>
              <w:t>t/a。</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rPr>
                <w:sz w:val="24"/>
                <w:szCs w:val="24"/>
              </w:rPr>
            </w:pPr>
            <w:r>
              <w:rPr>
                <w:rFonts w:ascii="Times New Roman" w:hAnsi="Times New Roman" w:cs="Times New Roman"/>
                <w:color w:val="auto"/>
                <w:sz w:val="24"/>
                <w:szCs w:val="24"/>
                <w:lang w:val="en-US" w:eastAsia="zh-CN"/>
              </w:rPr>
              <w:t>（2）</w:t>
            </w:r>
            <w:r>
              <w:rPr>
                <w:rFonts w:hAnsi="宋体"/>
                <w:sz w:val="24"/>
                <w:szCs w:val="24"/>
              </w:rPr>
              <w:t>生活污水</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color w:val="auto"/>
                <w:sz w:val="24"/>
                <w:szCs w:val="20"/>
              </w:rPr>
            </w:pPr>
            <w:r>
              <w:rPr>
                <w:rFonts w:hint="eastAsia" w:hAnsi="宋体"/>
                <w:sz w:val="24"/>
                <w:szCs w:val="24"/>
                <w:lang w:val="en-US" w:eastAsia="zh-CN"/>
              </w:rPr>
              <w:t>根据工程分析，</w:t>
            </w:r>
            <w:r>
              <w:rPr>
                <w:color w:val="auto"/>
                <w:sz w:val="24"/>
                <w:szCs w:val="20"/>
              </w:rPr>
              <w:t>生活污水产生量</w:t>
            </w:r>
            <w:r>
              <w:rPr>
                <w:rFonts w:hint="eastAsia"/>
                <w:color w:val="auto"/>
                <w:sz w:val="24"/>
                <w:szCs w:val="20"/>
                <w:lang w:val="en-US" w:eastAsia="zh-CN"/>
              </w:rPr>
              <w:t>128</w:t>
            </w:r>
            <w:r>
              <w:rPr>
                <w:color w:val="auto"/>
                <w:sz w:val="24"/>
                <w:szCs w:val="20"/>
              </w:rPr>
              <w:t>t/a，生活污水经化粪池预处理，排入</w:t>
            </w:r>
            <w:r>
              <w:rPr>
                <w:rFonts w:hint="eastAsia"/>
                <w:color w:val="auto"/>
                <w:sz w:val="24"/>
                <w:szCs w:val="20"/>
                <w:lang w:val="en-US" w:eastAsia="zh-CN"/>
              </w:rPr>
              <w:t>市政污水管网</w:t>
            </w:r>
            <w:r>
              <w:rPr>
                <w:bCs/>
                <w:color w:val="auto"/>
              </w:rPr>
              <w:t>，</w:t>
            </w:r>
            <w:r>
              <w:rPr>
                <w:color w:val="auto"/>
                <w:sz w:val="24"/>
                <w:szCs w:val="20"/>
              </w:rPr>
              <w:t>经计算，生活污水污染物接管量分别为COD</w:t>
            </w:r>
            <w:r>
              <w:rPr>
                <w:color w:val="auto"/>
                <w:sz w:val="24"/>
                <w:szCs w:val="20"/>
                <w:vertAlign w:val="subscript"/>
              </w:rPr>
              <w:t>Cr</w:t>
            </w:r>
            <w:r>
              <w:rPr>
                <w:color w:val="auto"/>
                <w:sz w:val="24"/>
                <w:szCs w:val="20"/>
              </w:rPr>
              <w:t>：</w:t>
            </w:r>
            <w:r>
              <w:rPr>
                <w:rFonts w:hint="eastAsia"/>
                <w:color w:val="auto"/>
                <w:sz w:val="24"/>
                <w:szCs w:val="20"/>
                <w:lang w:val="en-US" w:eastAsia="zh-CN"/>
              </w:rPr>
              <w:t>0.058</w:t>
            </w:r>
            <w:r>
              <w:rPr>
                <w:color w:val="auto"/>
                <w:sz w:val="24"/>
                <w:szCs w:val="20"/>
              </w:rPr>
              <w:t>t/a，BOD</w:t>
            </w:r>
            <w:r>
              <w:rPr>
                <w:color w:val="auto"/>
                <w:sz w:val="24"/>
                <w:szCs w:val="20"/>
                <w:vertAlign w:val="subscript"/>
              </w:rPr>
              <w:t>5</w:t>
            </w:r>
            <w:r>
              <w:rPr>
                <w:color w:val="auto"/>
                <w:sz w:val="24"/>
                <w:szCs w:val="20"/>
              </w:rPr>
              <w:t>：</w:t>
            </w:r>
            <w:r>
              <w:rPr>
                <w:rFonts w:hint="eastAsia"/>
                <w:color w:val="auto"/>
                <w:sz w:val="24"/>
                <w:szCs w:val="20"/>
                <w:lang w:val="en-US" w:eastAsia="zh-CN"/>
              </w:rPr>
              <w:t>0.032t</w:t>
            </w:r>
            <w:r>
              <w:rPr>
                <w:color w:val="auto"/>
                <w:sz w:val="24"/>
                <w:szCs w:val="20"/>
              </w:rPr>
              <w:t>/a，SS：</w:t>
            </w:r>
            <w:r>
              <w:rPr>
                <w:rFonts w:hint="eastAsia"/>
                <w:color w:val="auto"/>
                <w:sz w:val="24"/>
                <w:szCs w:val="20"/>
                <w:lang w:val="en-US" w:eastAsia="zh-CN"/>
              </w:rPr>
              <w:t>0.026</w:t>
            </w:r>
            <w:r>
              <w:rPr>
                <w:color w:val="auto"/>
                <w:sz w:val="24"/>
                <w:szCs w:val="20"/>
              </w:rPr>
              <w:t>t/a，NH</w:t>
            </w:r>
            <w:r>
              <w:rPr>
                <w:color w:val="auto"/>
                <w:sz w:val="24"/>
                <w:szCs w:val="20"/>
                <w:vertAlign w:val="subscript"/>
              </w:rPr>
              <w:t>3</w:t>
            </w:r>
            <w:r>
              <w:rPr>
                <w:color w:val="auto"/>
                <w:sz w:val="24"/>
                <w:szCs w:val="20"/>
              </w:rPr>
              <w:t>-N：</w:t>
            </w:r>
            <w:r>
              <w:rPr>
                <w:rFonts w:hint="eastAsia"/>
                <w:color w:val="auto"/>
                <w:sz w:val="24"/>
                <w:szCs w:val="20"/>
                <w:lang w:val="en-US" w:eastAsia="zh-CN"/>
              </w:rPr>
              <w:t>0.0038</w:t>
            </w:r>
            <w:r>
              <w:rPr>
                <w:color w:val="auto"/>
                <w:sz w:val="24"/>
                <w:szCs w:val="20"/>
              </w:rPr>
              <w:t>t/a。</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color w:val="auto"/>
                <w:sz w:val="24"/>
                <w:szCs w:val="24"/>
                <w:lang w:val="en-US" w:eastAsia="zh-CN"/>
              </w:rPr>
            </w:pPr>
            <w:r>
              <w:rPr>
                <w:color w:val="auto"/>
                <w:sz w:val="24"/>
                <w:szCs w:val="20"/>
              </w:rPr>
              <w:t>综上所述，</w:t>
            </w:r>
            <w:r>
              <w:rPr>
                <w:rFonts w:hint="eastAsia"/>
                <w:color w:val="auto"/>
                <w:sz w:val="24"/>
                <w:szCs w:val="20"/>
                <w:lang w:val="en-US" w:eastAsia="zh-CN"/>
              </w:rPr>
              <w:t>项目废水排放量为330.5t/a，经市政污水管网排放至青岛海清环保科技有</w:t>
            </w:r>
            <w:r>
              <w:rPr>
                <w:rFonts w:hint="eastAsia"/>
                <w:color w:val="auto"/>
                <w:sz w:val="24"/>
                <w:szCs w:val="24"/>
                <w:lang w:val="en-US" w:eastAsia="zh-CN"/>
              </w:rPr>
              <w:t>限公司污水处理厂，出水水质满足《城镇污水处理厂污染物排放标准》（GB18918-2002）及其修改单一级A标准，经计算，项目废水污染物接管量分别为</w:t>
            </w:r>
            <w:r>
              <w:rPr>
                <w:rFonts w:ascii="Times New Roman" w:hAnsi="Times New Roman" w:cs="Times New Roman"/>
                <w:color w:val="auto"/>
                <w:sz w:val="24"/>
                <w:szCs w:val="24"/>
                <w:lang w:val="en-US" w:eastAsia="zh-CN"/>
              </w:rPr>
              <w:t>COD</w:t>
            </w:r>
            <w:r>
              <w:rPr>
                <w:rFonts w:ascii="Times New Roman" w:hAnsi="Times New Roman" w:cs="Times New Roman"/>
                <w:color w:val="auto"/>
                <w:sz w:val="24"/>
                <w:szCs w:val="24"/>
                <w:vertAlign w:val="subscript"/>
                <w:lang w:val="en-US" w:eastAsia="zh-CN"/>
              </w:rPr>
              <w:t>Cr</w:t>
            </w:r>
            <w:r>
              <w:rPr>
                <w:rFonts w:ascii="Times New Roman" w:hAnsi="Times New Roman" w:cs="Times New Roman"/>
                <w:color w:val="auto"/>
                <w:sz w:val="24"/>
                <w:szCs w:val="24"/>
                <w:lang w:val="en-US" w:eastAsia="zh-CN"/>
              </w:rPr>
              <w:t>：</w:t>
            </w:r>
            <w:r>
              <w:rPr>
                <w:rFonts w:hint="eastAsia" w:ascii="Times New Roman" w:cs="Times New Roman"/>
                <w:color w:val="auto"/>
                <w:sz w:val="24"/>
                <w:szCs w:val="24"/>
                <w:lang w:val="en-US" w:eastAsia="zh-CN"/>
              </w:rPr>
              <w:t>0.1</w:t>
            </w:r>
            <w:r>
              <w:rPr>
                <w:rFonts w:hint="eastAsia" w:cs="Times New Roman"/>
                <w:color w:val="auto"/>
                <w:sz w:val="24"/>
                <w:szCs w:val="24"/>
                <w:lang w:val="en-US" w:eastAsia="zh-CN"/>
              </w:rPr>
              <w:t>58</w:t>
            </w:r>
            <w:r>
              <w:rPr>
                <w:rFonts w:ascii="Times New Roman" w:hAnsi="Times New Roman" w:cs="Times New Roman"/>
                <w:color w:val="auto"/>
                <w:sz w:val="24"/>
                <w:szCs w:val="24"/>
                <w:lang w:val="en-US" w:eastAsia="zh-CN"/>
              </w:rPr>
              <w:t>t/a，BOD</w:t>
            </w:r>
            <w:r>
              <w:rPr>
                <w:rFonts w:ascii="Times New Roman" w:hAnsi="Times New Roman" w:cs="Times New Roman"/>
                <w:color w:val="auto"/>
                <w:sz w:val="24"/>
                <w:szCs w:val="24"/>
                <w:vertAlign w:val="subscript"/>
                <w:lang w:val="en-US" w:eastAsia="zh-CN"/>
              </w:rPr>
              <w:t>5</w:t>
            </w:r>
            <w:r>
              <w:rPr>
                <w:rFonts w:ascii="Times New Roman" w:hAnsi="Times New Roman" w:cs="Times New Roman"/>
                <w:color w:val="auto"/>
                <w:sz w:val="24"/>
                <w:szCs w:val="24"/>
                <w:lang w:val="en-US" w:eastAsia="zh-CN"/>
              </w:rPr>
              <w:t>：</w:t>
            </w:r>
            <w:r>
              <w:rPr>
                <w:rFonts w:hint="eastAsia" w:cs="Times New Roman"/>
                <w:color w:val="auto"/>
                <w:sz w:val="24"/>
                <w:szCs w:val="24"/>
                <w:lang w:val="en-US" w:eastAsia="zh-CN"/>
              </w:rPr>
              <w:t>0.102</w:t>
            </w:r>
            <w:r>
              <w:rPr>
                <w:rFonts w:ascii="Times New Roman" w:hAnsi="Times New Roman" w:cs="Times New Roman"/>
                <w:color w:val="auto"/>
                <w:sz w:val="24"/>
                <w:szCs w:val="24"/>
                <w:lang w:val="en-US" w:eastAsia="zh-CN"/>
              </w:rPr>
              <w:t>t/a、SS：</w:t>
            </w:r>
            <w:r>
              <w:rPr>
                <w:rFonts w:hint="eastAsia" w:cs="Times New Roman"/>
                <w:color w:val="auto"/>
                <w:sz w:val="24"/>
                <w:szCs w:val="24"/>
                <w:lang w:val="en-US" w:eastAsia="zh-CN"/>
              </w:rPr>
              <w:t>0.107</w:t>
            </w:r>
            <w:r>
              <w:rPr>
                <w:rFonts w:hint="eastAsia" w:ascii="Times New Roman" w:cs="Times New Roman"/>
                <w:color w:val="auto"/>
                <w:sz w:val="24"/>
                <w:szCs w:val="24"/>
                <w:lang w:val="en-US" w:eastAsia="zh-CN"/>
              </w:rPr>
              <w:t>t/</w:t>
            </w:r>
            <w:r>
              <w:rPr>
                <w:rFonts w:ascii="Times New Roman" w:hAnsi="Times New Roman" w:cs="Times New Roman"/>
                <w:color w:val="auto"/>
                <w:sz w:val="24"/>
                <w:szCs w:val="24"/>
                <w:lang w:val="en-US" w:eastAsia="zh-CN"/>
              </w:rPr>
              <w:t>a、氨氮：</w:t>
            </w:r>
            <w:r>
              <w:rPr>
                <w:rFonts w:hint="eastAsia" w:cs="Times New Roman"/>
                <w:color w:val="auto"/>
                <w:sz w:val="24"/>
                <w:szCs w:val="24"/>
                <w:lang w:val="en-US" w:eastAsia="zh-CN"/>
              </w:rPr>
              <w:t>0.009</w:t>
            </w:r>
            <w:r>
              <w:rPr>
                <w:rFonts w:ascii="Times New Roman" w:hAnsi="Times New Roman" w:cs="Times New Roman"/>
                <w:color w:val="auto"/>
                <w:sz w:val="24"/>
                <w:szCs w:val="24"/>
                <w:lang w:val="en-US" w:eastAsia="zh-CN"/>
              </w:rPr>
              <w:t>t/a</w:t>
            </w:r>
            <w:r>
              <w:rPr>
                <w:rFonts w:hint="eastAsia" w:cs="Times New Roman"/>
                <w:color w:val="auto"/>
                <w:sz w:val="24"/>
                <w:szCs w:val="24"/>
                <w:lang w:val="en-US" w:eastAsia="zh-CN"/>
              </w:rPr>
              <w:t>，</w:t>
            </w:r>
            <w:r>
              <w:rPr>
                <w:rFonts w:hint="eastAsia"/>
                <w:color w:val="auto"/>
                <w:sz w:val="24"/>
                <w:szCs w:val="24"/>
                <w:lang w:val="en-US" w:eastAsia="zh-CN"/>
              </w:rPr>
              <w:t>外排环境量为</w:t>
            </w:r>
            <w:r>
              <w:rPr>
                <w:color w:val="auto"/>
                <w:sz w:val="24"/>
                <w:szCs w:val="24"/>
              </w:rPr>
              <w:t>COD</w:t>
            </w:r>
            <w:r>
              <w:rPr>
                <w:color w:val="auto"/>
                <w:sz w:val="24"/>
                <w:szCs w:val="24"/>
                <w:vertAlign w:val="subscript"/>
              </w:rPr>
              <w:t>Cr</w:t>
            </w:r>
            <w:r>
              <w:rPr>
                <w:color w:val="auto"/>
                <w:sz w:val="24"/>
                <w:szCs w:val="24"/>
              </w:rPr>
              <w:t>：50</w:t>
            </w:r>
            <w:r>
              <w:rPr>
                <w:rFonts w:hint="eastAsia"/>
                <w:color w:val="auto"/>
                <w:sz w:val="24"/>
                <w:szCs w:val="24"/>
                <w:lang w:val="en-US" w:eastAsia="zh-CN"/>
              </w:rPr>
              <w:t>mg/L（0.016t/a），</w:t>
            </w:r>
            <w:r>
              <w:rPr>
                <w:color w:val="auto"/>
                <w:sz w:val="24"/>
                <w:szCs w:val="24"/>
              </w:rPr>
              <w:t>BOD</w:t>
            </w:r>
            <w:r>
              <w:rPr>
                <w:color w:val="auto"/>
                <w:sz w:val="24"/>
                <w:szCs w:val="24"/>
                <w:vertAlign w:val="subscript"/>
              </w:rPr>
              <w:t>5</w:t>
            </w:r>
            <w:r>
              <w:rPr>
                <w:color w:val="auto"/>
                <w:sz w:val="24"/>
                <w:szCs w:val="24"/>
              </w:rPr>
              <w:t>：10</w:t>
            </w:r>
            <w:r>
              <w:rPr>
                <w:rFonts w:hint="eastAsia"/>
                <w:color w:val="auto"/>
                <w:sz w:val="24"/>
                <w:szCs w:val="24"/>
                <w:lang w:val="en-US" w:eastAsia="zh-CN"/>
              </w:rPr>
              <w:t>mg/L（0.0033t/a），</w:t>
            </w:r>
            <w:r>
              <w:rPr>
                <w:color w:val="auto"/>
                <w:sz w:val="24"/>
                <w:szCs w:val="24"/>
              </w:rPr>
              <w:t>SS：10</w:t>
            </w:r>
            <w:r>
              <w:rPr>
                <w:rFonts w:hint="eastAsia"/>
                <w:color w:val="auto"/>
                <w:sz w:val="24"/>
                <w:szCs w:val="24"/>
                <w:lang w:val="en-US" w:eastAsia="zh-CN"/>
              </w:rPr>
              <w:t>mg/L（0.0033t/a），</w:t>
            </w:r>
            <w:r>
              <w:rPr>
                <w:color w:val="auto"/>
                <w:sz w:val="24"/>
                <w:szCs w:val="24"/>
              </w:rPr>
              <w:t>氨氮：5</w:t>
            </w:r>
            <w:r>
              <w:rPr>
                <w:rFonts w:hint="eastAsia"/>
                <w:color w:val="auto"/>
                <w:sz w:val="24"/>
                <w:szCs w:val="24"/>
                <w:lang w:val="en-US" w:eastAsia="zh-CN"/>
              </w:rPr>
              <w:t>mg/L（0.0016t/a）。</w:t>
            </w:r>
          </w:p>
          <w:p>
            <w:pPr>
              <w:adjustRightInd w:val="0"/>
              <w:snapToGrid w:val="0"/>
              <w:spacing w:line="360" w:lineRule="auto"/>
              <w:ind w:firstLine="480" w:firstLineChars="200"/>
              <w:jc w:val="left"/>
              <w:rPr>
                <w:rFonts w:hint="eastAsia"/>
                <w:color w:val="auto"/>
                <w:sz w:val="24"/>
                <w:szCs w:val="22"/>
                <w:lang w:eastAsia="zh-CN"/>
              </w:rPr>
            </w:pPr>
            <w:r>
              <w:rPr>
                <w:color w:val="auto"/>
                <w:sz w:val="24"/>
                <w:szCs w:val="22"/>
              </w:rPr>
              <w:t>根据《环境影响评价技术导则 地表水环境》（HJ2.3-2018），项目废水为间接排放，评价等级为三级B</w:t>
            </w:r>
            <w:r>
              <w:rPr>
                <w:rFonts w:hint="eastAsia"/>
                <w:color w:val="auto"/>
                <w:sz w:val="24"/>
                <w:szCs w:val="22"/>
                <w:lang w:eastAsia="zh-CN"/>
              </w:rPr>
              <w:t>，</w:t>
            </w:r>
            <w:r>
              <w:rPr>
                <w:rFonts w:hint="eastAsia"/>
                <w:color w:val="auto"/>
                <w:sz w:val="24"/>
                <w:szCs w:val="22"/>
                <w:lang w:val="en-US" w:eastAsia="zh-CN"/>
              </w:rPr>
              <w:t>可</w:t>
            </w:r>
            <w:r>
              <w:rPr>
                <w:color w:val="auto"/>
                <w:sz w:val="24"/>
                <w:szCs w:val="22"/>
              </w:rPr>
              <w:t>不进行水环境影响预测</w:t>
            </w:r>
            <w:r>
              <w:rPr>
                <w:rFonts w:hint="eastAsia"/>
                <w:color w:val="auto"/>
                <w:sz w:val="24"/>
                <w:szCs w:val="22"/>
                <w:lang w:eastAsia="zh-CN"/>
              </w:rPr>
              <w:t>。</w:t>
            </w:r>
          </w:p>
          <w:p>
            <w:pPr>
              <w:adjustRightInd w:val="0"/>
              <w:snapToGrid w:val="0"/>
              <w:spacing w:line="360" w:lineRule="auto"/>
              <w:ind w:firstLine="480" w:firstLineChars="200"/>
              <w:rPr>
                <w:color w:val="auto"/>
                <w:sz w:val="24"/>
                <w:szCs w:val="22"/>
              </w:rPr>
            </w:pPr>
            <w:r>
              <w:rPr>
                <w:color w:val="auto"/>
                <w:sz w:val="24"/>
                <w:szCs w:val="22"/>
              </w:rPr>
              <w:t>根据《环境影响评价技术导则 地下水环境》（HJ610-2016）附录A，项目属于IV类建设项目，不需要开展地下水环境影响评价</w:t>
            </w:r>
            <w:r>
              <w:rPr>
                <w:rFonts w:hint="eastAsia"/>
                <w:color w:val="auto"/>
                <w:sz w:val="24"/>
                <w:szCs w:val="22"/>
                <w:lang w:eastAsia="zh-CN"/>
              </w:rPr>
              <w:t>，</w:t>
            </w:r>
            <w:r>
              <w:rPr>
                <w:rFonts w:hint="eastAsia"/>
                <w:color w:val="auto"/>
                <w:sz w:val="24"/>
                <w:szCs w:val="22"/>
                <w:lang w:val="en-US" w:eastAsia="zh-CN"/>
              </w:rPr>
              <w:t>厂区</w:t>
            </w:r>
            <w:r>
              <w:rPr>
                <w:color w:val="auto"/>
                <w:sz w:val="24"/>
                <w:szCs w:val="22"/>
              </w:rPr>
              <w:t>污水处理站、化粪池、污水管线</w:t>
            </w:r>
            <w:r>
              <w:rPr>
                <w:rFonts w:hint="eastAsia"/>
                <w:color w:val="auto"/>
                <w:sz w:val="24"/>
                <w:szCs w:val="22"/>
                <w:lang w:val="en-US" w:eastAsia="zh-CN"/>
              </w:rPr>
              <w:t>必须</w:t>
            </w:r>
            <w:r>
              <w:rPr>
                <w:color w:val="auto"/>
                <w:sz w:val="24"/>
                <w:szCs w:val="22"/>
              </w:rPr>
              <w:t>做好防渗措施，项目对地下水影响较小。</w:t>
            </w:r>
          </w:p>
          <w:p>
            <w:pPr>
              <w:adjustRightInd w:val="0"/>
              <w:snapToGrid w:val="0"/>
              <w:spacing w:line="360" w:lineRule="auto"/>
              <w:ind w:firstLine="480" w:firstLineChars="200"/>
              <w:rPr>
                <w:color w:val="auto"/>
                <w:sz w:val="24"/>
              </w:rPr>
            </w:pPr>
            <w:r>
              <w:rPr>
                <w:color w:val="auto"/>
                <w:sz w:val="24"/>
                <w:szCs w:val="22"/>
              </w:rPr>
              <w:t>综上所述，该项目废水对周围水环境影响较小。</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sz w:val="24"/>
                <w:szCs w:val="24"/>
              </w:rPr>
            </w:pPr>
            <w:r>
              <w:rPr>
                <w:rFonts w:hint="default" w:ascii="Times New Roman" w:hAnsi="Times New Roman" w:cs="Times New Roman"/>
                <w:b/>
                <w:bCs/>
                <w:sz w:val="24"/>
                <w:szCs w:val="24"/>
                <w:lang w:val="en-US" w:eastAsia="zh-CN"/>
              </w:rPr>
              <w:t>2</w:t>
            </w:r>
            <w:r>
              <w:rPr>
                <w:rFonts w:hint="eastAsia" w:ascii="宋体" w:hAnsi="宋体"/>
                <w:b/>
                <w:bCs/>
                <w:sz w:val="24"/>
                <w:szCs w:val="24"/>
                <w:lang w:val="en-US" w:eastAsia="zh-CN"/>
              </w:rPr>
              <w:t>、</w:t>
            </w:r>
            <w:r>
              <w:rPr>
                <w:rFonts w:hint="eastAsia" w:ascii="宋体" w:hAnsi="宋体"/>
                <w:b/>
                <w:bCs/>
                <w:sz w:val="24"/>
                <w:szCs w:val="24"/>
              </w:rPr>
              <w:t>大气</w:t>
            </w:r>
            <w:r>
              <w:rPr>
                <w:rFonts w:hint="eastAsia" w:ascii="宋体" w:hAnsi="宋体"/>
                <w:b/>
                <w:bCs/>
                <w:sz w:val="24"/>
                <w:szCs w:val="24"/>
                <w:lang w:val="en-US" w:eastAsia="zh-CN"/>
              </w:rPr>
              <w:t>环境</w:t>
            </w:r>
            <w:r>
              <w:rPr>
                <w:rFonts w:hint="eastAsia" w:ascii="宋体" w:hAnsi="宋体"/>
                <w:b/>
                <w:bCs/>
                <w:sz w:val="24"/>
                <w:szCs w:val="24"/>
              </w:rPr>
              <w:t>影响分析及防治措施</w:t>
            </w:r>
          </w:p>
          <w:p>
            <w:pPr>
              <w:keepNext w:val="0"/>
              <w:keepLines w:val="0"/>
              <w:pageBreakBefore w:val="0"/>
              <w:widowControl w:val="0"/>
              <w:kinsoku/>
              <w:wordWrap/>
              <w:overflowPunct/>
              <w:topLinePunct w:val="0"/>
              <w:autoSpaceDE/>
              <w:autoSpaceDN/>
              <w:bidi w:val="0"/>
              <w:adjustRightInd w:val="0"/>
              <w:snapToGrid w:val="0"/>
              <w:spacing w:line="360" w:lineRule="auto"/>
              <w:ind w:firstLine="456" w:firstLineChars="200"/>
              <w:rPr>
                <w:rFonts w:hint="eastAsia" w:hAnsi="宋体"/>
                <w:spacing w:val="-6"/>
                <w:sz w:val="24"/>
                <w:lang w:eastAsia="zh-CN"/>
              </w:rPr>
            </w:pPr>
            <w:r>
              <w:rPr>
                <w:rFonts w:hint="eastAsia" w:hAnsi="宋体"/>
                <w:spacing w:val="-6"/>
                <w:sz w:val="24"/>
                <w:lang w:val="en-US" w:eastAsia="zh-CN"/>
              </w:rPr>
              <w:t>项目废气主要来源于</w:t>
            </w:r>
            <w:r>
              <w:rPr>
                <w:rFonts w:hint="eastAsia"/>
                <w:sz w:val="24"/>
                <w:szCs w:val="24"/>
                <w:lang w:val="en-US" w:eastAsia="zh-CN"/>
              </w:rPr>
              <w:t>提取、冷却工序及污水处理站产生的异味气体，生产工艺废气以臭气浓度表征，污水处理站的异味气体以H</w:t>
            </w:r>
            <w:r>
              <w:rPr>
                <w:rFonts w:hint="eastAsia"/>
                <w:sz w:val="24"/>
                <w:szCs w:val="24"/>
                <w:vertAlign w:val="subscript"/>
                <w:lang w:val="en-US" w:eastAsia="zh-CN"/>
              </w:rPr>
              <w:t>2</w:t>
            </w:r>
            <w:r>
              <w:rPr>
                <w:rFonts w:hint="eastAsia"/>
                <w:sz w:val="24"/>
                <w:szCs w:val="24"/>
                <w:lang w:val="en-US" w:eastAsia="zh-CN"/>
              </w:rPr>
              <w:t>S、NH</w:t>
            </w:r>
            <w:r>
              <w:rPr>
                <w:rFonts w:hint="eastAsia"/>
                <w:sz w:val="24"/>
                <w:szCs w:val="24"/>
                <w:vertAlign w:val="subscript"/>
                <w:lang w:val="en-US" w:eastAsia="zh-CN"/>
              </w:rPr>
              <w:t>3</w:t>
            </w:r>
            <w:r>
              <w:rPr>
                <w:rFonts w:hint="eastAsia"/>
                <w:sz w:val="24"/>
                <w:szCs w:val="24"/>
                <w:lang w:val="en-US" w:eastAsia="zh-CN"/>
              </w:rPr>
              <w:t>、臭气浓度表征</w:t>
            </w:r>
            <w:r>
              <w:rPr>
                <w:rFonts w:hint="eastAsia" w:hAnsi="宋体"/>
                <w:spacing w:val="-6"/>
                <w:sz w:val="24"/>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56" w:firstLineChars="200"/>
              <w:rPr>
                <w:rFonts w:hint="default"/>
                <w:color w:val="auto"/>
                <w:sz w:val="24"/>
                <w:szCs w:val="22"/>
                <w:lang w:val="en-US" w:eastAsia="zh-CN"/>
              </w:rPr>
            </w:pPr>
            <w:r>
              <w:rPr>
                <w:rFonts w:hint="eastAsia" w:hAnsi="宋体"/>
                <w:spacing w:val="-6"/>
                <w:sz w:val="24"/>
                <w:lang w:val="en-US" w:eastAsia="zh-CN"/>
              </w:rPr>
              <w:t>提取过程全程密闭，</w:t>
            </w:r>
            <w:r>
              <w:rPr>
                <w:rFonts w:hint="eastAsia" w:hAnsi="宋体"/>
                <w:spacing w:val="-6"/>
                <w:sz w:val="24"/>
                <w:szCs w:val="22"/>
                <w:lang w:val="en-US" w:eastAsia="zh-CN"/>
              </w:rPr>
              <w:t>真空干燥机负压运行，异味气体不会逸散至外界；提取结束</w:t>
            </w:r>
            <w:r>
              <w:rPr>
                <w:rFonts w:hint="default" w:ascii="Times New Roman" w:hAnsi="Times New Roman" w:cs="Times New Roman"/>
                <w:spacing w:val="-6"/>
                <w:sz w:val="24"/>
                <w:szCs w:val="22"/>
                <w:highlight w:val="none"/>
                <w:lang w:val="en-US" w:eastAsia="zh-CN"/>
              </w:rPr>
              <w:t>后，</w:t>
            </w:r>
            <w:r>
              <w:rPr>
                <w:rFonts w:hint="eastAsia" w:ascii="Times New Roman" w:hAnsi="Times New Roman" w:cs="Times New Roman"/>
                <w:spacing w:val="-6"/>
                <w:sz w:val="24"/>
                <w:szCs w:val="22"/>
                <w:highlight w:val="none"/>
                <w:lang w:val="en-US" w:eastAsia="zh-CN"/>
              </w:rPr>
              <w:t>沸腾</w:t>
            </w:r>
            <w:r>
              <w:rPr>
                <w:rFonts w:hint="default" w:ascii="Times New Roman" w:hAnsi="Times New Roman" w:cs="Times New Roman"/>
                <w:spacing w:val="-6"/>
                <w:sz w:val="24"/>
                <w:szCs w:val="22"/>
                <w:highlight w:val="none"/>
                <w:lang w:val="en-US" w:eastAsia="zh-CN"/>
              </w:rPr>
              <w:t>状态下提取物经冷却水冷凝至真空罐中，冷却水进水温度12</w:t>
            </w:r>
            <w:r>
              <w:rPr>
                <w:rFonts w:hint="default" w:ascii="Times New Roman" w:hAnsi="Times New Roman" w:cs="Times New Roman"/>
                <w:sz w:val="24"/>
                <w:szCs w:val="24"/>
                <w:highlight w:val="none"/>
                <w:lang w:val="en-US" w:eastAsia="zh-CN"/>
              </w:rPr>
              <w:t>~13</w:t>
            </w:r>
            <w:r>
              <w:rPr>
                <w:rFonts w:hint="default" w:ascii="Times New Roman" w:hAnsi="Times New Roman" w:cs="Times New Roman"/>
                <w:sz w:val="24"/>
                <w:szCs w:val="24"/>
                <w:highlight w:val="none"/>
              </w:rPr>
              <w:t>℃</w:t>
            </w:r>
            <w:r>
              <w:rPr>
                <w:rFonts w:hint="default" w:ascii="Times New Roman" w:hAnsi="Times New Roman" w:cs="Times New Roman"/>
                <w:sz w:val="24"/>
                <w:szCs w:val="24"/>
                <w:highlight w:val="none"/>
                <w:lang w:eastAsia="zh-CN"/>
              </w:rPr>
              <w:t>，</w:t>
            </w:r>
            <w:r>
              <w:rPr>
                <w:rFonts w:hint="default" w:ascii="Times New Roman" w:hAnsi="Times New Roman" w:cs="Times New Roman"/>
                <w:sz w:val="24"/>
                <w:szCs w:val="24"/>
                <w:highlight w:val="none"/>
                <w:lang w:val="en-US" w:eastAsia="zh-CN"/>
              </w:rPr>
              <w:t>换热面积为25m</w:t>
            </w:r>
            <w:r>
              <w:rPr>
                <w:rFonts w:hint="default" w:ascii="Times New Roman" w:hAnsi="Times New Roman" w:cs="Times New Roman"/>
                <w:sz w:val="24"/>
                <w:szCs w:val="24"/>
                <w:highlight w:val="none"/>
                <w:vertAlign w:val="superscript"/>
                <w:lang w:val="en-US" w:eastAsia="zh-CN"/>
              </w:rPr>
              <w:t>2</w:t>
            </w:r>
            <w:r>
              <w:rPr>
                <w:rFonts w:hint="default" w:ascii="Times New Roman" w:hAnsi="Times New Roman" w:cs="Times New Roman"/>
                <w:sz w:val="24"/>
                <w:szCs w:val="24"/>
                <w:highlight w:val="none"/>
                <w:lang w:val="en-US" w:eastAsia="zh-CN"/>
              </w:rPr>
              <w:t>，出水温度达到室温，</w:t>
            </w:r>
            <w:r>
              <w:rPr>
                <w:rFonts w:hint="eastAsia" w:ascii="Times New Roman" w:hAnsi="Times New Roman" w:cs="Times New Roman"/>
                <w:sz w:val="24"/>
                <w:szCs w:val="24"/>
                <w:highlight w:val="none"/>
                <w:lang w:val="en-US" w:eastAsia="zh-CN"/>
              </w:rPr>
              <w:t>有微量</w:t>
            </w:r>
            <w:r>
              <w:rPr>
                <w:rFonts w:hint="default" w:ascii="Times New Roman" w:hAnsi="Times New Roman" w:cs="Times New Roman"/>
                <w:sz w:val="24"/>
                <w:szCs w:val="24"/>
                <w:highlight w:val="none"/>
                <w:lang w:val="en-US" w:eastAsia="zh-CN"/>
              </w:rPr>
              <w:t>不</w:t>
            </w:r>
            <w:r>
              <w:rPr>
                <w:rFonts w:hint="eastAsia"/>
                <w:sz w:val="24"/>
                <w:szCs w:val="24"/>
                <w:lang w:val="en-US" w:eastAsia="zh-CN"/>
              </w:rPr>
              <w:t>凝气在车间无组织排放。生产车间洁净度</w:t>
            </w:r>
            <w:r>
              <w:rPr>
                <w:rFonts w:hint="eastAsia" w:ascii="Times New Roman" w:hAnsi="Times New Roman" w:eastAsia="宋体" w:cs="Times New Roman"/>
                <w:kern w:val="2"/>
                <w:sz w:val="24"/>
                <w:szCs w:val="24"/>
                <w:lang w:val="en-US" w:eastAsia="zh-CN" w:bidi="ar-SA"/>
              </w:rPr>
              <w:t>为30万级，灌装间洁净度为10万级</w:t>
            </w:r>
            <w:r>
              <w:rPr>
                <w:rFonts w:hint="eastAsia" w:ascii="Times New Roman" w:hAnsi="Times New Roman" w:cs="Times New Roman"/>
                <w:sz w:val="24"/>
                <w:szCs w:val="24"/>
                <w:highlight w:val="none"/>
                <w:lang w:val="en-US" w:eastAsia="zh-CN"/>
              </w:rPr>
              <w:t>，车间出风口也设有滤芯、网栅等过滤材质，降低排风中的粉尘，同时可以吸附部分的异味气体。</w:t>
            </w:r>
            <w:r>
              <w:rPr>
                <w:rFonts w:hint="eastAsia" w:cs="Times New Roman"/>
                <w:sz w:val="24"/>
                <w:szCs w:val="24"/>
                <w:highlight w:val="none"/>
                <w:lang w:val="en-US" w:eastAsia="zh-CN"/>
              </w:rPr>
              <w:t>类比同类项目，</w:t>
            </w:r>
            <w:r>
              <w:rPr>
                <w:rFonts w:hint="eastAsia" w:cs="Times New Roman"/>
                <w:kern w:val="2"/>
                <w:sz w:val="24"/>
                <w:szCs w:val="24"/>
                <w:lang w:val="en-US" w:eastAsia="zh-CN" w:bidi="ar-SA"/>
              </w:rPr>
              <w:t>厂界臭气浓度满足</w:t>
            </w:r>
            <w:r>
              <w:rPr>
                <w:rFonts w:hint="eastAsia"/>
                <w:color w:val="auto"/>
                <w:sz w:val="24"/>
                <w:szCs w:val="22"/>
                <w:lang w:val="en-US" w:eastAsia="zh-CN"/>
              </w:rPr>
              <w:t>《恶臭污染物排标准》（GB14554-93）表1二级标准要求。</w:t>
            </w:r>
          </w:p>
          <w:p>
            <w:pPr>
              <w:pStyle w:val="2"/>
              <w:keepNext w:val="0"/>
              <w:keepLines w:val="0"/>
              <w:pageBreakBefore w:val="0"/>
              <w:widowControl w:val="0"/>
              <w:kinsoku/>
              <w:wordWrap/>
              <w:overflowPunct/>
              <w:topLinePunct w:val="0"/>
              <w:autoSpaceDE/>
              <w:autoSpaceDN/>
              <w:bidi w:val="0"/>
              <w:adjustRightInd w:val="0"/>
              <w:snapToGrid w:val="0"/>
              <w:spacing w:after="0" w:afterLines="0" w:line="360" w:lineRule="auto"/>
              <w:ind w:left="0" w:leftChars="0" w:firstLine="480" w:firstLineChars="200"/>
              <w:rPr>
                <w:rFonts w:hint="eastAsia"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污水处理站异味气体来源于格栅、厌氧池及污泥浓缩池，</w:t>
            </w:r>
            <w:r>
              <w:rPr>
                <w:rFonts w:hint="eastAsia" w:cs="Times New Roman"/>
                <w:kern w:val="2"/>
                <w:sz w:val="24"/>
                <w:szCs w:val="24"/>
                <w:lang w:val="en-US" w:eastAsia="zh-CN" w:bidi="ar-SA"/>
              </w:rPr>
              <w:t>污水处理站位于生产车间内，</w:t>
            </w:r>
            <w:r>
              <w:rPr>
                <w:rFonts w:hint="eastAsia" w:ascii="Times New Roman" w:hAnsi="Times New Roman" w:eastAsia="宋体" w:cs="Times New Roman"/>
                <w:kern w:val="2"/>
                <w:sz w:val="24"/>
                <w:szCs w:val="24"/>
                <w:lang w:val="en-US" w:eastAsia="zh-CN" w:bidi="ar-SA"/>
              </w:rPr>
              <w:t>由于该项目废水处理量低，</w:t>
            </w:r>
            <w:r>
              <w:rPr>
                <w:rFonts w:hint="eastAsia" w:cs="Times New Roman"/>
                <w:kern w:val="2"/>
                <w:sz w:val="24"/>
                <w:szCs w:val="24"/>
                <w:lang w:val="en-US" w:eastAsia="zh-CN" w:bidi="ar-SA"/>
              </w:rPr>
              <w:t>且产生异味气体的</w:t>
            </w:r>
            <w:bookmarkStart w:id="10" w:name="_GoBack"/>
            <w:bookmarkEnd w:id="10"/>
            <w:r>
              <w:rPr>
                <w:rFonts w:hint="eastAsia" w:cs="Times New Roman"/>
                <w:kern w:val="2"/>
                <w:sz w:val="24"/>
                <w:szCs w:val="24"/>
                <w:lang w:val="en-US" w:eastAsia="zh-CN" w:bidi="ar-SA"/>
              </w:rPr>
              <w:t>污水处理设备加盖密闭，因此污水处理站</w:t>
            </w:r>
            <w:r>
              <w:rPr>
                <w:rFonts w:hint="eastAsia"/>
                <w:sz w:val="24"/>
                <w:szCs w:val="24"/>
                <w:lang w:val="en-US" w:eastAsia="zh-CN"/>
              </w:rPr>
              <w:t>H</w:t>
            </w:r>
            <w:r>
              <w:rPr>
                <w:rFonts w:hint="eastAsia"/>
                <w:sz w:val="24"/>
                <w:szCs w:val="24"/>
                <w:vertAlign w:val="subscript"/>
                <w:lang w:val="en-US" w:eastAsia="zh-CN"/>
              </w:rPr>
              <w:t>2</w:t>
            </w:r>
            <w:r>
              <w:rPr>
                <w:rFonts w:hint="eastAsia"/>
                <w:sz w:val="24"/>
                <w:szCs w:val="24"/>
                <w:lang w:val="en-US" w:eastAsia="zh-CN"/>
              </w:rPr>
              <w:t>S、NH</w:t>
            </w:r>
            <w:r>
              <w:rPr>
                <w:rFonts w:hint="eastAsia"/>
                <w:sz w:val="24"/>
                <w:szCs w:val="24"/>
                <w:vertAlign w:val="subscript"/>
                <w:lang w:val="en-US" w:eastAsia="zh-CN"/>
              </w:rPr>
              <w:t>3</w:t>
            </w:r>
            <w:r>
              <w:rPr>
                <w:rFonts w:hint="eastAsia"/>
                <w:sz w:val="24"/>
                <w:szCs w:val="24"/>
                <w:lang w:val="en-US" w:eastAsia="zh-CN"/>
              </w:rPr>
              <w:t>、臭气浓度满足</w:t>
            </w:r>
            <w:r>
              <w:rPr>
                <w:rFonts w:hint="eastAsia"/>
                <w:color w:val="auto"/>
                <w:sz w:val="24"/>
                <w:szCs w:val="22"/>
                <w:lang w:val="en-US" w:eastAsia="zh-CN"/>
              </w:rPr>
              <w:t>《恶臭污染物排标准》（GB14554-93）表1二级标准要求，</w:t>
            </w:r>
            <w:r>
              <w:rPr>
                <w:rFonts w:hint="eastAsia" w:cs="Times New Roman"/>
                <w:kern w:val="2"/>
                <w:sz w:val="24"/>
                <w:szCs w:val="24"/>
                <w:lang w:val="en-US" w:eastAsia="zh-CN" w:bidi="ar-SA"/>
              </w:rPr>
              <w:t>对周边环境影响较小。</w:t>
            </w:r>
          </w:p>
          <w:p>
            <w:pPr>
              <w:keepNext w:val="0"/>
              <w:keepLines w:val="0"/>
              <w:pageBreakBefore w:val="0"/>
              <w:widowControl w:val="0"/>
              <w:kinsoku/>
              <w:wordWrap/>
              <w:overflowPunct/>
              <w:topLinePunct w:val="0"/>
              <w:autoSpaceDE/>
              <w:autoSpaceDN/>
              <w:bidi w:val="0"/>
              <w:adjustRightInd w:val="0"/>
              <w:snapToGrid w:val="0"/>
              <w:spacing w:line="360" w:lineRule="auto"/>
              <w:rPr>
                <w:rFonts w:hint="default"/>
                <w:lang w:val="en-US" w:eastAsia="zh-CN"/>
              </w:rPr>
            </w:pPr>
            <w:r>
              <w:rPr>
                <w:rFonts w:hint="eastAsia"/>
                <w:lang w:val="en-US" w:eastAsia="zh-CN"/>
              </w:rPr>
              <w:t xml:space="preserve">     </w:t>
            </w:r>
            <w:r>
              <w:rPr>
                <w:rFonts w:hint="eastAsia" w:ascii="Times New Roman" w:hAnsi="Times New Roman" w:eastAsia="宋体" w:cs="Times New Roman"/>
                <w:kern w:val="2"/>
                <w:sz w:val="24"/>
                <w:szCs w:val="24"/>
                <w:lang w:val="en-US" w:eastAsia="zh-CN" w:bidi="ar-SA"/>
              </w:rPr>
              <w:t>综上所述，</w:t>
            </w:r>
            <w:r>
              <w:rPr>
                <w:rFonts w:hint="eastAsia" w:cs="Times New Roman"/>
                <w:kern w:val="2"/>
                <w:sz w:val="24"/>
                <w:szCs w:val="24"/>
                <w:lang w:val="en-US" w:eastAsia="zh-CN" w:bidi="ar-SA"/>
              </w:rPr>
              <w:t>采取上述防治措施，该项目产生的异味气体对周边环境影响较小。</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2" w:firstLineChars="200"/>
              <w:textAlignment w:val="auto"/>
              <w:rPr>
                <w:rFonts w:hint="eastAsia" w:ascii="Times New Roman" w:hAnsi="Times New Roman" w:eastAsia="宋体" w:cs="Times New Roman"/>
                <w:b/>
                <w:sz w:val="24"/>
                <w:szCs w:val="24"/>
                <w:lang w:val="en-US" w:eastAsia="zh-CN"/>
              </w:rPr>
            </w:pPr>
            <w:r>
              <w:rPr>
                <w:rFonts w:hint="default" w:ascii="Times New Roman" w:hAnsi="Times New Roman" w:cs="Times New Roman"/>
                <w:b/>
                <w:sz w:val="24"/>
                <w:szCs w:val="24"/>
              </w:rPr>
              <w:t>3、噪声环境影响分析及评价</w:t>
            </w:r>
          </w:p>
          <w:p>
            <w:pPr>
              <w:pStyle w:val="31"/>
              <w:keepNext w:val="0"/>
              <w:keepLines w:val="0"/>
              <w:pageBreakBefore w:val="0"/>
              <w:widowControl w:val="0"/>
              <w:kinsoku/>
              <w:wordWrap/>
              <w:overflowPunct/>
              <w:topLinePunct w:val="0"/>
              <w:autoSpaceDE/>
              <w:autoSpaceDN/>
              <w:bidi w:val="0"/>
              <w:adjustRightInd w:val="0"/>
              <w:snapToGrid w:val="0"/>
              <w:spacing w:after="0" w:afterLines="0" w:line="360" w:lineRule="auto"/>
              <w:ind w:left="0" w:leftChars="0" w:firstLine="480" w:firstLineChars="200"/>
              <w:textAlignment w:val="auto"/>
              <w:rPr>
                <w:rFonts w:hint="eastAsia" w:ascii="Times New Roman" w:hAnsi="Times New Roman" w:eastAsia="宋体" w:cs="Times New Roman"/>
                <w:sz w:val="24"/>
                <w:szCs w:val="24"/>
                <w:lang w:eastAsia="zh-CN"/>
              </w:rPr>
            </w:pPr>
            <w:r>
              <w:rPr>
                <w:rFonts w:hint="eastAsia" w:ascii="Times New Roman" w:hAnsi="Times New Roman" w:cs="Times New Roman"/>
                <w:sz w:val="24"/>
                <w:szCs w:val="24"/>
                <w:lang w:val="en-US" w:eastAsia="zh-CN"/>
              </w:rPr>
              <w:t>该</w:t>
            </w:r>
            <w:r>
              <w:rPr>
                <w:rFonts w:hint="default" w:ascii="Times New Roman" w:hAnsi="Times New Roman" w:cs="Times New Roman"/>
                <w:sz w:val="24"/>
                <w:szCs w:val="24"/>
              </w:rPr>
              <w:t>项目</w:t>
            </w:r>
            <w:r>
              <w:rPr>
                <w:rFonts w:hint="eastAsia" w:ascii="Times New Roman" w:hAnsi="Times New Roman" w:cs="Times New Roman"/>
                <w:sz w:val="24"/>
                <w:szCs w:val="24"/>
                <w:lang w:val="en-US" w:eastAsia="zh-CN"/>
              </w:rPr>
              <w:t>运营期</w:t>
            </w:r>
            <w:r>
              <w:rPr>
                <w:rFonts w:hint="default" w:ascii="Times New Roman" w:hAnsi="Times New Roman" w:cs="Times New Roman"/>
                <w:sz w:val="24"/>
                <w:szCs w:val="24"/>
              </w:rPr>
              <w:t>期</w:t>
            </w:r>
            <w:r>
              <w:rPr>
                <w:rFonts w:hint="eastAsia" w:hAnsi="宋体"/>
                <w:sz w:val="24"/>
              </w:rPr>
              <w:t>主要</w:t>
            </w:r>
            <w:r>
              <w:rPr>
                <w:rFonts w:hint="eastAsia" w:hAnsi="宋体"/>
                <w:sz w:val="24"/>
                <w:lang w:val="en-US" w:eastAsia="zh-CN"/>
              </w:rPr>
              <w:t>为清洗机、真空干燥提取机及各种泵类产生的设备噪声</w:t>
            </w:r>
            <w:r>
              <w:rPr>
                <w:rFonts w:hint="eastAsia" w:hAnsi="宋体"/>
                <w:sz w:val="24"/>
              </w:rPr>
              <w:t>，</w:t>
            </w:r>
            <w:r>
              <w:rPr>
                <w:rFonts w:hAnsi="宋体"/>
                <w:sz w:val="24"/>
              </w:rPr>
              <w:t>噪声值约为</w:t>
            </w:r>
            <w:r>
              <w:rPr>
                <w:rFonts w:hint="eastAsia" w:hAnsi="宋体"/>
                <w:sz w:val="24"/>
                <w:lang w:val="en-US" w:eastAsia="zh-CN"/>
              </w:rPr>
              <w:t>70</w:t>
            </w:r>
            <w:r>
              <w:rPr>
                <w:sz w:val="24"/>
              </w:rPr>
              <w:t>~</w:t>
            </w:r>
            <w:r>
              <w:rPr>
                <w:rFonts w:hint="eastAsia"/>
                <w:sz w:val="24"/>
              </w:rPr>
              <w:t>8</w:t>
            </w:r>
            <w:r>
              <w:rPr>
                <w:rFonts w:hint="eastAsia"/>
                <w:sz w:val="24"/>
                <w:lang w:val="en-US" w:eastAsia="zh-CN"/>
              </w:rPr>
              <w:t>5</w:t>
            </w:r>
            <w:r>
              <w:rPr>
                <w:sz w:val="24"/>
              </w:rPr>
              <w:t>dB(A)</w:t>
            </w:r>
            <w:r>
              <w:rPr>
                <w:rFonts w:hint="default" w:ascii="Times New Roman" w:hAnsi="Times New Roman" w:cs="Times New Roman"/>
                <w:sz w:val="24"/>
                <w:szCs w:val="24"/>
              </w:rPr>
              <w:t>，噪声值较小</w:t>
            </w:r>
            <w:r>
              <w:rPr>
                <w:rFonts w:hint="eastAsia" w:cs="Times New Roman"/>
                <w:sz w:val="24"/>
                <w:szCs w:val="24"/>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eastAsia="宋体" w:cs="Times New Roman"/>
                <w:color w:val="auto"/>
                <w:sz w:val="24"/>
                <w:lang w:val="en-US" w:eastAsia="zh-CN"/>
              </w:rPr>
            </w:pPr>
            <w:r>
              <w:rPr>
                <w:rFonts w:hint="eastAsia" w:ascii="Times New Roman" w:hAnsi="Times New Roman" w:cs="Times New Roman"/>
                <w:sz w:val="24"/>
                <w:szCs w:val="24"/>
                <w:lang w:val="en-US" w:eastAsia="zh-CN"/>
              </w:rPr>
              <w:t>该</w:t>
            </w:r>
            <w:r>
              <w:rPr>
                <w:rFonts w:hint="default" w:ascii="Times New Roman" w:hAnsi="Times New Roman" w:cs="Times New Roman"/>
                <w:sz w:val="24"/>
                <w:szCs w:val="24"/>
              </w:rPr>
              <w:t>项目</w:t>
            </w:r>
            <w:r>
              <w:rPr>
                <w:rFonts w:hint="eastAsia" w:cs="Times New Roman"/>
                <w:sz w:val="24"/>
                <w:szCs w:val="24"/>
                <w:lang w:val="en-US" w:eastAsia="zh-CN"/>
              </w:rPr>
              <w:t>生产设备</w:t>
            </w:r>
            <w:r>
              <w:rPr>
                <w:rFonts w:hint="default" w:ascii="Times New Roman" w:hAnsi="Times New Roman" w:cs="Times New Roman"/>
                <w:sz w:val="24"/>
                <w:szCs w:val="24"/>
              </w:rPr>
              <w:t>均设置在室内，且只在白天进行，</w:t>
            </w:r>
            <w:r>
              <w:rPr>
                <w:rFonts w:hint="eastAsia" w:cs="Times New Roman"/>
                <w:sz w:val="24"/>
                <w:szCs w:val="24"/>
                <w:lang w:val="en-US" w:eastAsia="zh-CN"/>
              </w:rPr>
              <w:t>优先采用</w:t>
            </w:r>
            <w:r>
              <w:rPr>
                <w:rFonts w:hint="default" w:ascii="Times New Roman" w:hAnsi="Times New Roman" w:cs="Times New Roman"/>
                <w:sz w:val="24"/>
                <w:szCs w:val="24"/>
              </w:rPr>
              <w:t>先进设备，</w:t>
            </w:r>
            <w:r>
              <w:rPr>
                <w:rFonts w:hint="eastAsia" w:cs="Times New Roman"/>
                <w:sz w:val="24"/>
                <w:szCs w:val="24"/>
                <w:lang w:val="en-US" w:eastAsia="zh-CN"/>
              </w:rPr>
              <w:t>高噪声设备设置基础减振，通过减振、建筑物隔声及距离衰减，</w:t>
            </w:r>
            <w:r>
              <w:rPr>
                <w:rFonts w:hint="default" w:ascii="Times New Roman" w:hAnsi="Times New Roman" w:cs="Times New Roman"/>
                <w:sz w:val="24"/>
                <w:szCs w:val="24"/>
                <w:lang w:val="en-US" w:eastAsia="zh-CN"/>
              </w:rPr>
              <w:t>厂界噪声满足</w:t>
            </w:r>
            <w:r>
              <w:rPr>
                <w:rFonts w:hint="default" w:ascii="Times New Roman" w:hAnsi="Times New Roman" w:cs="Times New Roman"/>
                <w:color w:val="auto"/>
                <w:sz w:val="24"/>
              </w:rPr>
              <w:t>《工业企业厂界环境噪声排放标准》（GB12348-2008）中的</w:t>
            </w:r>
            <w:r>
              <w:rPr>
                <w:rFonts w:hint="eastAsia" w:cs="Times New Roman"/>
                <w:color w:val="auto"/>
                <w:sz w:val="24"/>
                <w:lang w:val="en-US" w:eastAsia="zh-CN"/>
              </w:rPr>
              <w:t>3</w:t>
            </w:r>
            <w:r>
              <w:rPr>
                <w:rFonts w:hint="default" w:ascii="Times New Roman" w:hAnsi="Times New Roman" w:cs="Times New Roman"/>
                <w:color w:val="auto"/>
                <w:sz w:val="24"/>
              </w:rPr>
              <w:t>类标准。</w:t>
            </w:r>
            <w:r>
              <w:rPr>
                <w:rFonts w:hint="eastAsia" w:cs="Times New Roman"/>
                <w:color w:val="auto"/>
                <w:sz w:val="24"/>
                <w:lang w:val="en-US" w:eastAsia="zh-CN"/>
              </w:rPr>
              <w:t>项目周边无敏感目标，</w:t>
            </w:r>
            <w:r>
              <w:rPr>
                <w:rFonts w:hint="eastAsia" w:ascii="Times New Roman" w:hAnsi="Times New Roman" w:cs="Times New Roman"/>
                <w:sz w:val="24"/>
                <w:szCs w:val="24"/>
                <w:lang w:val="en-US" w:eastAsia="zh-CN"/>
              </w:rPr>
              <w:t>该</w:t>
            </w:r>
            <w:r>
              <w:rPr>
                <w:rFonts w:hint="default" w:ascii="Times New Roman" w:hAnsi="Times New Roman" w:cs="Times New Roman"/>
                <w:sz w:val="24"/>
                <w:szCs w:val="24"/>
              </w:rPr>
              <w:t>项目噪声设备对环境影响小</w:t>
            </w:r>
            <w:r>
              <w:rPr>
                <w:rFonts w:hint="eastAsia" w:cs="Times New Roman"/>
                <w:sz w:val="24"/>
                <w:szCs w:val="24"/>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cs="Times New Roman"/>
                <w:b/>
                <w:sz w:val="24"/>
                <w:szCs w:val="24"/>
              </w:rPr>
            </w:pPr>
            <w:r>
              <w:rPr>
                <w:rFonts w:hint="default" w:ascii="Times New Roman" w:hAnsi="Times New Roman" w:cs="Times New Roman"/>
                <w:b/>
                <w:sz w:val="24"/>
                <w:szCs w:val="24"/>
              </w:rPr>
              <w:t>4、固体废物影响分析及评价</w:t>
            </w:r>
          </w:p>
          <w:p>
            <w:pPr>
              <w:keepNext w:val="0"/>
              <w:keepLines w:val="0"/>
              <w:pageBreakBefore w:val="0"/>
              <w:widowControl w:val="0"/>
              <w:tabs>
                <w:tab w:val="left" w:pos="420"/>
              </w:tabs>
              <w:kinsoku/>
              <w:wordWrap/>
              <w:overflowPunct/>
              <w:topLinePunct w:val="0"/>
              <w:autoSpaceDE/>
              <w:autoSpaceDN/>
              <w:bidi w:val="0"/>
              <w:adjustRightInd w:val="0"/>
              <w:snapToGrid w:val="0"/>
              <w:spacing w:line="360" w:lineRule="auto"/>
              <w:ind w:firstLine="480" w:firstLineChars="200"/>
              <w:textAlignment w:val="auto"/>
              <w:rPr>
                <w:rFonts w:hint="eastAsia"/>
                <w:color w:val="auto"/>
                <w:sz w:val="24"/>
                <w:lang w:val="en-US" w:eastAsia="zh-CN"/>
              </w:rPr>
            </w:pPr>
            <w:r>
              <w:rPr>
                <w:rFonts w:hint="eastAsia" w:hAnsi="宋体"/>
                <w:bCs/>
                <w:sz w:val="24"/>
                <w:lang w:val="en-US" w:eastAsia="zh-CN"/>
              </w:rPr>
              <w:t>项目固体废物主要包括不合格原料、植物残渣、污水处理站污泥及生活垃圾，项目无危险废物</w:t>
            </w:r>
            <w:r>
              <w:rPr>
                <w:rFonts w:hint="eastAsia"/>
                <w:color w:val="auto"/>
                <w:sz w:val="24"/>
                <w:lang w:eastAsia="zh-CN"/>
              </w:rPr>
              <w:t>。</w:t>
            </w:r>
            <w:r>
              <w:rPr>
                <w:rFonts w:hint="eastAsia"/>
                <w:color w:val="auto"/>
                <w:sz w:val="24"/>
                <w:lang w:val="en-US" w:eastAsia="zh-CN"/>
              </w:rPr>
              <w:t>项目固体废物产生、处置情况见表10。</w:t>
            </w:r>
          </w:p>
          <w:p>
            <w:pPr>
              <w:pStyle w:val="2"/>
              <w:rPr>
                <w:rFonts w:hint="eastAsia"/>
                <w:color w:val="auto"/>
                <w:sz w:val="24"/>
                <w:lang w:val="en-US" w:eastAsia="zh-CN"/>
              </w:rPr>
            </w:pPr>
          </w:p>
          <w:p>
            <w:pPr>
              <w:adjustRightInd w:val="0"/>
              <w:snapToGrid w:val="0"/>
              <w:spacing w:line="360" w:lineRule="auto"/>
              <w:ind w:firstLine="420" w:firstLineChars="200"/>
              <w:jc w:val="center"/>
              <w:rPr>
                <w:rFonts w:eastAsia="黑体"/>
                <w:color w:val="auto"/>
                <w:szCs w:val="21"/>
              </w:rPr>
            </w:pPr>
            <w:r>
              <w:rPr>
                <w:rFonts w:eastAsia="黑体"/>
                <w:color w:val="auto"/>
                <w:szCs w:val="21"/>
              </w:rPr>
              <w:t>表</w:t>
            </w:r>
            <w:r>
              <w:rPr>
                <w:rFonts w:hint="eastAsia" w:eastAsia="黑体"/>
                <w:color w:val="auto"/>
                <w:szCs w:val="21"/>
                <w:lang w:val="en-US" w:eastAsia="zh-CN"/>
              </w:rPr>
              <w:t>10</w:t>
            </w:r>
            <w:r>
              <w:rPr>
                <w:rFonts w:eastAsia="黑体"/>
                <w:color w:val="auto"/>
                <w:szCs w:val="21"/>
              </w:rPr>
              <w:t xml:space="preserve"> </w:t>
            </w:r>
            <w:r>
              <w:rPr>
                <w:rFonts w:hint="eastAsia" w:eastAsia="黑体"/>
                <w:color w:val="auto"/>
                <w:szCs w:val="21"/>
                <w:lang w:val="en-US" w:eastAsia="zh-CN"/>
              </w:rPr>
              <w:t xml:space="preserve"> </w:t>
            </w:r>
            <w:r>
              <w:rPr>
                <w:rFonts w:eastAsia="黑体"/>
                <w:color w:val="auto"/>
                <w:szCs w:val="21"/>
              </w:rPr>
              <w:t>项目固废产生及处置情况一览表</w:t>
            </w: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6"/>
              <w:gridCol w:w="2068"/>
              <w:gridCol w:w="1407"/>
              <w:gridCol w:w="915"/>
              <w:gridCol w:w="846"/>
              <w:gridCol w:w="2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57" w:type="dxa"/>
                  <w:noWrap w:val="0"/>
                  <w:vAlign w:val="center"/>
                </w:tcPr>
                <w:p>
                  <w:pPr>
                    <w:spacing w:line="240" w:lineRule="atLeast"/>
                    <w:jc w:val="center"/>
                    <w:rPr>
                      <w:color w:val="auto"/>
                      <w:szCs w:val="21"/>
                    </w:rPr>
                  </w:pPr>
                  <w:r>
                    <w:rPr>
                      <w:color w:val="auto"/>
                      <w:szCs w:val="21"/>
                    </w:rPr>
                    <w:t>序号</w:t>
                  </w:r>
                </w:p>
              </w:tc>
              <w:tc>
                <w:tcPr>
                  <w:tcW w:w="2071" w:type="dxa"/>
                  <w:noWrap w:val="0"/>
                  <w:vAlign w:val="center"/>
                </w:tcPr>
                <w:p>
                  <w:pPr>
                    <w:spacing w:line="240" w:lineRule="atLeast"/>
                    <w:jc w:val="center"/>
                    <w:rPr>
                      <w:color w:val="auto"/>
                      <w:szCs w:val="21"/>
                    </w:rPr>
                  </w:pPr>
                  <w:r>
                    <w:rPr>
                      <w:color w:val="auto"/>
                      <w:szCs w:val="21"/>
                    </w:rPr>
                    <w:t>固废名称</w:t>
                  </w:r>
                </w:p>
              </w:tc>
              <w:tc>
                <w:tcPr>
                  <w:tcW w:w="1409" w:type="dxa"/>
                  <w:noWrap w:val="0"/>
                  <w:vAlign w:val="center"/>
                </w:tcPr>
                <w:p>
                  <w:pPr>
                    <w:spacing w:line="240" w:lineRule="atLeast"/>
                    <w:jc w:val="center"/>
                    <w:rPr>
                      <w:color w:val="auto"/>
                      <w:szCs w:val="21"/>
                    </w:rPr>
                  </w:pPr>
                  <w:r>
                    <w:rPr>
                      <w:color w:val="auto"/>
                      <w:szCs w:val="21"/>
                    </w:rPr>
                    <w:t>废物类别及废物代码</w:t>
                  </w:r>
                </w:p>
              </w:tc>
              <w:tc>
                <w:tcPr>
                  <w:tcW w:w="915" w:type="dxa"/>
                  <w:noWrap w:val="0"/>
                  <w:vAlign w:val="center"/>
                </w:tcPr>
                <w:p>
                  <w:pPr>
                    <w:spacing w:line="240" w:lineRule="atLeast"/>
                    <w:jc w:val="center"/>
                    <w:rPr>
                      <w:color w:val="auto"/>
                      <w:szCs w:val="21"/>
                    </w:rPr>
                  </w:pPr>
                  <w:r>
                    <w:rPr>
                      <w:color w:val="auto"/>
                      <w:szCs w:val="21"/>
                    </w:rPr>
                    <w:t>产生量</w:t>
                  </w:r>
                </w:p>
                <w:p>
                  <w:pPr>
                    <w:spacing w:line="240" w:lineRule="atLeast"/>
                    <w:jc w:val="center"/>
                    <w:rPr>
                      <w:color w:val="auto"/>
                      <w:szCs w:val="21"/>
                    </w:rPr>
                  </w:pPr>
                  <w:r>
                    <w:rPr>
                      <w:color w:val="auto"/>
                      <w:szCs w:val="21"/>
                    </w:rPr>
                    <w:t>（t/a）</w:t>
                  </w:r>
                </w:p>
              </w:tc>
              <w:tc>
                <w:tcPr>
                  <w:tcW w:w="846" w:type="dxa"/>
                  <w:noWrap w:val="0"/>
                  <w:vAlign w:val="center"/>
                </w:tcPr>
                <w:p>
                  <w:pPr>
                    <w:spacing w:line="240" w:lineRule="atLeast"/>
                    <w:jc w:val="center"/>
                    <w:rPr>
                      <w:color w:val="auto"/>
                      <w:szCs w:val="21"/>
                    </w:rPr>
                  </w:pPr>
                  <w:r>
                    <w:rPr>
                      <w:color w:val="auto"/>
                      <w:szCs w:val="21"/>
                    </w:rPr>
                    <w:t>排放量</w:t>
                  </w:r>
                </w:p>
                <w:p>
                  <w:pPr>
                    <w:spacing w:line="240" w:lineRule="atLeast"/>
                    <w:jc w:val="center"/>
                    <w:rPr>
                      <w:color w:val="auto"/>
                      <w:szCs w:val="21"/>
                    </w:rPr>
                  </w:pPr>
                  <w:r>
                    <w:rPr>
                      <w:color w:val="auto"/>
                      <w:szCs w:val="21"/>
                    </w:rPr>
                    <w:t>（t/a）</w:t>
                  </w:r>
                </w:p>
              </w:tc>
              <w:tc>
                <w:tcPr>
                  <w:tcW w:w="2632" w:type="dxa"/>
                  <w:noWrap w:val="0"/>
                  <w:vAlign w:val="center"/>
                </w:tcPr>
                <w:p>
                  <w:pPr>
                    <w:spacing w:line="240" w:lineRule="atLeast"/>
                    <w:jc w:val="center"/>
                    <w:rPr>
                      <w:color w:val="auto"/>
                      <w:szCs w:val="21"/>
                    </w:rPr>
                  </w:pPr>
                  <w:r>
                    <w:rPr>
                      <w:color w:val="auto"/>
                      <w:szCs w:val="21"/>
                    </w:rPr>
                    <w:t>处理措施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57" w:type="dxa"/>
                  <w:noWrap w:val="0"/>
                  <w:vAlign w:val="center"/>
                </w:tcPr>
                <w:p>
                  <w:pPr>
                    <w:spacing w:line="240" w:lineRule="atLeast"/>
                    <w:jc w:val="center"/>
                    <w:rPr>
                      <w:color w:val="auto"/>
                      <w:szCs w:val="21"/>
                    </w:rPr>
                  </w:pPr>
                  <w:r>
                    <w:rPr>
                      <w:color w:val="auto"/>
                      <w:szCs w:val="21"/>
                    </w:rPr>
                    <w:t>1</w:t>
                  </w:r>
                </w:p>
              </w:tc>
              <w:tc>
                <w:tcPr>
                  <w:tcW w:w="2071" w:type="dxa"/>
                  <w:noWrap w:val="0"/>
                  <w:vAlign w:val="center"/>
                </w:tcPr>
                <w:p>
                  <w:pPr>
                    <w:spacing w:line="240" w:lineRule="atLeast"/>
                    <w:jc w:val="center"/>
                    <w:rPr>
                      <w:rFonts w:hint="default" w:eastAsia="宋体"/>
                      <w:color w:val="auto"/>
                      <w:szCs w:val="21"/>
                      <w:lang w:val="en-US" w:eastAsia="zh-CN"/>
                    </w:rPr>
                  </w:pPr>
                  <w:r>
                    <w:rPr>
                      <w:rFonts w:hint="eastAsia"/>
                      <w:color w:val="auto"/>
                      <w:szCs w:val="21"/>
                      <w:lang w:val="en-US" w:eastAsia="zh-CN"/>
                    </w:rPr>
                    <w:t>不合格原料</w:t>
                  </w:r>
                </w:p>
              </w:tc>
              <w:tc>
                <w:tcPr>
                  <w:tcW w:w="1409" w:type="dxa"/>
                  <w:noWrap w:val="0"/>
                  <w:vAlign w:val="center"/>
                </w:tcPr>
                <w:p>
                  <w:pPr>
                    <w:spacing w:line="240" w:lineRule="atLeast"/>
                    <w:jc w:val="center"/>
                    <w:rPr>
                      <w:color w:val="auto"/>
                      <w:szCs w:val="21"/>
                    </w:rPr>
                  </w:pPr>
                  <w:r>
                    <w:rPr>
                      <w:color w:val="auto"/>
                      <w:szCs w:val="21"/>
                    </w:rPr>
                    <w:t>/</w:t>
                  </w:r>
                </w:p>
              </w:tc>
              <w:tc>
                <w:tcPr>
                  <w:tcW w:w="915" w:type="dxa"/>
                  <w:noWrap w:val="0"/>
                  <w:vAlign w:val="center"/>
                </w:tcPr>
                <w:p>
                  <w:pPr>
                    <w:spacing w:line="240" w:lineRule="atLeast"/>
                    <w:jc w:val="center"/>
                    <w:rPr>
                      <w:rFonts w:hint="default" w:eastAsia="宋体"/>
                      <w:color w:val="auto"/>
                      <w:szCs w:val="21"/>
                      <w:lang w:val="en-US" w:eastAsia="zh-CN"/>
                    </w:rPr>
                  </w:pPr>
                  <w:r>
                    <w:rPr>
                      <w:rFonts w:hint="eastAsia"/>
                      <w:color w:val="auto"/>
                      <w:szCs w:val="21"/>
                      <w:lang w:val="en-US" w:eastAsia="zh-CN"/>
                    </w:rPr>
                    <w:t>0.017</w:t>
                  </w:r>
                </w:p>
              </w:tc>
              <w:tc>
                <w:tcPr>
                  <w:tcW w:w="846" w:type="dxa"/>
                  <w:noWrap w:val="0"/>
                  <w:vAlign w:val="center"/>
                </w:tcPr>
                <w:p>
                  <w:pPr>
                    <w:spacing w:line="240" w:lineRule="atLeast"/>
                    <w:jc w:val="center"/>
                    <w:rPr>
                      <w:color w:val="auto"/>
                      <w:szCs w:val="21"/>
                    </w:rPr>
                  </w:pPr>
                  <w:r>
                    <w:rPr>
                      <w:color w:val="auto"/>
                      <w:szCs w:val="21"/>
                    </w:rPr>
                    <w:t>0</w:t>
                  </w:r>
                </w:p>
              </w:tc>
              <w:tc>
                <w:tcPr>
                  <w:tcW w:w="2632" w:type="dxa"/>
                  <w:noWrap w:val="0"/>
                  <w:vAlign w:val="center"/>
                </w:tcPr>
                <w:p>
                  <w:pPr>
                    <w:spacing w:line="240" w:lineRule="atLeast"/>
                    <w:rPr>
                      <w:rFonts w:hint="default" w:eastAsia="宋体"/>
                      <w:color w:val="auto"/>
                      <w:szCs w:val="21"/>
                      <w:lang w:val="en-US" w:eastAsia="zh-CN"/>
                    </w:rPr>
                  </w:pPr>
                  <w:r>
                    <w:rPr>
                      <w:rFonts w:hint="eastAsia"/>
                      <w:color w:val="auto"/>
                      <w:szCs w:val="21"/>
                      <w:lang w:val="en-US" w:eastAsia="zh-CN"/>
                    </w:rPr>
                    <w:t>由城市环卫部门定期清运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57" w:type="dxa"/>
                  <w:noWrap w:val="0"/>
                  <w:vAlign w:val="center"/>
                </w:tcPr>
                <w:p>
                  <w:pPr>
                    <w:spacing w:line="240" w:lineRule="atLeast"/>
                    <w:jc w:val="center"/>
                    <w:rPr>
                      <w:color w:val="auto"/>
                      <w:szCs w:val="21"/>
                    </w:rPr>
                  </w:pPr>
                  <w:r>
                    <w:rPr>
                      <w:rFonts w:hint="eastAsia"/>
                      <w:color w:val="auto"/>
                      <w:szCs w:val="21"/>
                      <w:lang w:val="en-US" w:eastAsia="zh-CN"/>
                    </w:rPr>
                    <w:t>2</w:t>
                  </w:r>
                </w:p>
              </w:tc>
              <w:tc>
                <w:tcPr>
                  <w:tcW w:w="2071" w:type="dxa"/>
                  <w:noWrap w:val="0"/>
                  <w:vAlign w:val="center"/>
                </w:tcPr>
                <w:p>
                  <w:pPr>
                    <w:spacing w:line="240" w:lineRule="atLeast"/>
                    <w:jc w:val="center"/>
                    <w:rPr>
                      <w:rFonts w:hint="default" w:eastAsia="宋体"/>
                      <w:color w:val="auto"/>
                      <w:szCs w:val="21"/>
                      <w:lang w:val="en-US" w:eastAsia="zh-CN"/>
                    </w:rPr>
                  </w:pPr>
                  <w:r>
                    <w:rPr>
                      <w:rFonts w:hint="eastAsia"/>
                      <w:color w:val="auto"/>
                      <w:szCs w:val="21"/>
                      <w:lang w:val="en-US" w:eastAsia="zh-CN"/>
                    </w:rPr>
                    <w:t>植物残渣</w:t>
                  </w:r>
                </w:p>
              </w:tc>
              <w:tc>
                <w:tcPr>
                  <w:tcW w:w="1409" w:type="dxa"/>
                  <w:noWrap w:val="0"/>
                  <w:vAlign w:val="center"/>
                </w:tcPr>
                <w:p>
                  <w:pPr>
                    <w:spacing w:line="240" w:lineRule="atLeast"/>
                    <w:jc w:val="center"/>
                    <w:rPr>
                      <w:color w:val="auto"/>
                      <w:szCs w:val="21"/>
                    </w:rPr>
                  </w:pPr>
                  <w:r>
                    <w:rPr>
                      <w:color w:val="auto"/>
                      <w:szCs w:val="21"/>
                    </w:rPr>
                    <w:t>/</w:t>
                  </w:r>
                </w:p>
              </w:tc>
              <w:tc>
                <w:tcPr>
                  <w:tcW w:w="915" w:type="dxa"/>
                  <w:noWrap w:val="0"/>
                  <w:vAlign w:val="center"/>
                </w:tcPr>
                <w:p>
                  <w:pPr>
                    <w:spacing w:line="240" w:lineRule="atLeast"/>
                    <w:jc w:val="center"/>
                    <w:rPr>
                      <w:rFonts w:hint="eastAsia" w:eastAsia="宋体"/>
                      <w:color w:val="auto"/>
                      <w:szCs w:val="21"/>
                      <w:lang w:eastAsia="zh-CN"/>
                    </w:rPr>
                  </w:pPr>
                  <w:r>
                    <w:rPr>
                      <w:rFonts w:hint="eastAsia"/>
                      <w:color w:val="auto"/>
                      <w:szCs w:val="21"/>
                      <w:lang w:val="en-US" w:eastAsia="zh-CN"/>
                    </w:rPr>
                    <w:t>5</w:t>
                  </w:r>
                </w:p>
              </w:tc>
              <w:tc>
                <w:tcPr>
                  <w:tcW w:w="846" w:type="dxa"/>
                  <w:noWrap w:val="0"/>
                  <w:vAlign w:val="center"/>
                </w:tcPr>
                <w:p>
                  <w:pPr>
                    <w:spacing w:line="240" w:lineRule="atLeast"/>
                    <w:jc w:val="center"/>
                    <w:rPr>
                      <w:rFonts w:hint="eastAsia"/>
                      <w:color w:val="auto"/>
                      <w:szCs w:val="21"/>
                    </w:rPr>
                  </w:pPr>
                  <w:r>
                    <w:rPr>
                      <w:rFonts w:hint="eastAsia"/>
                      <w:color w:val="auto"/>
                      <w:szCs w:val="21"/>
                    </w:rPr>
                    <w:t>0</w:t>
                  </w:r>
                </w:p>
              </w:tc>
              <w:tc>
                <w:tcPr>
                  <w:tcW w:w="2632" w:type="dxa"/>
                  <w:noWrap w:val="0"/>
                  <w:vAlign w:val="center"/>
                </w:tcPr>
                <w:p>
                  <w:pPr>
                    <w:spacing w:line="240" w:lineRule="atLeast"/>
                    <w:rPr>
                      <w:rFonts w:hint="default" w:eastAsia="宋体"/>
                      <w:color w:val="auto"/>
                      <w:szCs w:val="21"/>
                      <w:lang w:val="en-US" w:eastAsia="zh-CN"/>
                    </w:rPr>
                  </w:pPr>
                  <w:r>
                    <w:rPr>
                      <w:rFonts w:hint="eastAsia"/>
                      <w:color w:val="auto"/>
                      <w:szCs w:val="21"/>
                      <w:lang w:val="en-US" w:eastAsia="zh-CN"/>
                    </w:rPr>
                    <w:t>由相关食品单位回收利用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857" w:type="dxa"/>
                  <w:noWrap w:val="0"/>
                  <w:vAlign w:val="center"/>
                </w:tcPr>
                <w:p>
                  <w:pPr>
                    <w:spacing w:line="240" w:lineRule="atLeast"/>
                    <w:jc w:val="center"/>
                    <w:rPr>
                      <w:rFonts w:hint="default" w:eastAsia="宋体"/>
                      <w:color w:val="auto"/>
                      <w:szCs w:val="21"/>
                      <w:lang w:val="en-US" w:eastAsia="zh-CN"/>
                    </w:rPr>
                  </w:pPr>
                  <w:r>
                    <w:rPr>
                      <w:rFonts w:hint="eastAsia"/>
                      <w:color w:val="auto"/>
                      <w:szCs w:val="21"/>
                      <w:lang w:val="en-US" w:eastAsia="zh-CN"/>
                    </w:rPr>
                    <w:t>3</w:t>
                  </w:r>
                </w:p>
              </w:tc>
              <w:tc>
                <w:tcPr>
                  <w:tcW w:w="2071" w:type="dxa"/>
                  <w:noWrap w:val="0"/>
                  <w:vAlign w:val="center"/>
                </w:tcPr>
                <w:p>
                  <w:pPr>
                    <w:spacing w:line="240" w:lineRule="atLeast"/>
                    <w:jc w:val="center"/>
                    <w:rPr>
                      <w:rFonts w:hint="default" w:eastAsia="宋体"/>
                      <w:color w:val="auto"/>
                      <w:szCs w:val="21"/>
                      <w:lang w:val="en-US" w:eastAsia="zh-CN"/>
                    </w:rPr>
                  </w:pPr>
                  <w:r>
                    <w:rPr>
                      <w:rFonts w:hint="eastAsia"/>
                      <w:color w:val="auto"/>
                      <w:szCs w:val="21"/>
                      <w:lang w:val="en-US" w:eastAsia="zh-CN"/>
                    </w:rPr>
                    <w:t>污水处理站污泥</w:t>
                  </w:r>
                </w:p>
              </w:tc>
              <w:tc>
                <w:tcPr>
                  <w:tcW w:w="1409" w:type="dxa"/>
                  <w:noWrap w:val="0"/>
                  <w:vAlign w:val="center"/>
                </w:tcPr>
                <w:p>
                  <w:pPr>
                    <w:spacing w:line="240" w:lineRule="atLeast"/>
                    <w:jc w:val="center"/>
                    <w:rPr>
                      <w:color w:val="auto"/>
                      <w:szCs w:val="21"/>
                    </w:rPr>
                  </w:pPr>
                  <w:r>
                    <w:rPr>
                      <w:color w:val="auto"/>
                      <w:szCs w:val="21"/>
                    </w:rPr>
                    <w:t>/</w:t>
                  </w:r>
                </w:p>
              </w:tc>
              <w:tc>
                <w:tcPr>
                  <w:tcW w:w="915" w:type="dxa"/>
                  <w:noWrap w:val="0"/>
                  <w:vAlign w:val="center"/>
                </w:tcPr>
                <w:p>
                  <w:pPr>
                    <w:spacing w:line="240" w:lineRule="atLeast"/>
                    <w:jc w:val="center"/>
                    <w:rPr>
                      <w:rFonts w:hint="default" w:eastAsia="宋体"/>
                      <w:color w:val="auto"/>
                      <w:szCs w:val="21"/>
                      <w:lang w:val="en-US" w:eastAsia="zh-CN"/>
                    </w:rPr>
                  </w:pPr>
                  <w:r>
                    <w:rPr>
                      <w:rFonts w:hint="eastAsia"/>
                      <w:color w:val="auto"/>
                      <w:szCs w:val="21"/>
                      <w:lang w:val="en-US" w:eastAsia="zh-CN"/>
                    </w:rPr>
                    <w:t>0.2</w:t>
                  </w:r>
                </w:p>
              </w:tc>
              <w:tc>
                <w:tcPr>
                  <w:tcW w:w="846" w:type="dxa"/>
                  <w:noWrap w:val="0"/>
                  <w:vAlign w:val="center"/>
                </w:tcPr>
                <w:p>
                  <w:pPr>
                    <w:spacing w:line="240" w:lineRule="atLeast"/>
                    <w:jc w:val="center"/>
                    <w:rPr>
                      <w:rFonts w:hint="eastAsia" w:eastAsia="宋体"/>
                      <w:color w:val="auto"/>
                      <w:szCs w:val="21"/>
                      <w:lang w:val="en-US" w:eastAsia="zh-CN"/>
                    </w:rPr>
                  </w:pPr>
                  <w:r>
                    <w:rPr>
                      <w:rFonts w:hint="eastAsia"/>
                      <w:color w:val="auto"/>
                      <w:szCs w:val="21"/>
                      <w:lang w:val="en-US" w:eastAsia="zh-CN"/>
                    </w:rPr>
                    <w:t>0</w:t>
                  </w:r>
                </w:p>
              </w:tc>
              <w:tc>
                <w:tcPr>
                  <w:tcW w:w="2632" w:type="dxa"/>
                  <w:noWrap w:val="0"/>
                  <w:vAlign w:val="center"/>
                </w:tcPr>
                <w:p>
                  <w:pPr>
                    <w:spacing w:line="240" w:lineRule="atLeast"/>
                    <w:rPr>
                      <w:rFonts w:hint="default" w:ascii="Times New Roman" w:hAnsi="Times New Roman" w:eastAsia="宋体" w:cs="Times New Roman"/>
                      <w:color w:val="auto"/>
                      <w:kern w:val="2"/>
                      <w:sz w:val="21"/>
                      <w:szCs w:val="21"/>
                      <w:lang w:val="en-US" w:eastAsia="zh-CN" w:bidi="ar-SA"/>
                    </w:rPr>
                  </w:pPr>
                  <w:r>
                    <w:rPr>
                      <w:rFonts w:hint="eastAsia"/>
                      <w:color w:val="auto"/>
                      <w:szCs w:val="21"/>
                      <w:lang w:val="en-US" w:eastAsia="zh-CN"/>
                    </w:rPr>
                    <w:t>由城市环卫部门定期清运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57" w:type="dxa"/>
                  <w:noWrap w:val="0"/>
                  <w:vAlign w:val="center"/>
                </w:tcPr>
                <w:p>
                  <w:pPr>
                    <w:spacing w:line="240" w:lineRule="atLeast"/>
                    <w:jc w:val="center"/>
                    <w:rPr>
                      <w:rFonts w:hint="default"/>
                      <w:color w:val="auto"/>
                      <w:szCs w:val="21"/>
                      <w:lang w:val="en-US" w:eastAsia="zh-CN"/>
                    </w:rPr>
                  </w:pPr>
                  <w:r>
                    <w:rPr>
                      <w:rFonts w:hint="eastAsia"/>
                      <w:color w:val="auto"/>
                      <w:szCs w:val="21"/>
                      <w:lang w:val="en-US" w:eastAsia="zh-CN"/>
                    </w:rPr>
                    <w:t>4</w:t>
                  </w:r>
                </w:p>
              </w:tc>
              <w:tc>
                <w:tcPr>
                  <w:tcW w:w="2071" w:type="dxa"/>
                  <w:noWrap w:val="0"/>
                  <w:vAlign w:val="center"/>
                </w:tcPr>
                <w:p>
                  <w:pPr>
                    <w:spacing w:line="240" w:lineRule="atLeast"/>
                    <w:jc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生活垃圾</w:t>
                  </w:r>
                </w:p>
              </w:tc>
              <w:tc>
                <w:tcPr>
                  <w:tcW w:w="1409" w:type="dxa"/>
                  <w:noWrap w:val="0"/>
                  <w:vAlign w:val="center"/>
                </w:tcPr>
                <w:p>
                  <w:pPr>
                    <w:spacing w:line="240" w:lineRule="atLeast"/>
                    <w:jc w:val="center"/>
                    <w:rPr>
                      <w:rFonts w:ascii="Times New Roman" w:hAnsi="Times New Roman" w:eastAsia="宋体" w:cs="Times New Roman"/>
                      <w:color w:val="auto"/>
                      <w:kern w:val="2"/>
                      <w:sz w:val="21"/>
                      <w:szCs w:val="21"/>
                      <w:lang w:val="en-US" w:eastAsia="zh-CN" w:bidi="ar-SA"/>
                    </w:rPr>
                  </w:pPr>
                  <w:r>
                    <w:rPr>
                      <w:color w:val="auto"/>
                      <w:szCs w:val="21"/>
                    </w:rPr>
                    <w:t>/</w:t>
                  </w:r>
                </w:p>
              </w:tc>
              <w:tc>
                <w:tcPr>
                  <w:tcW w:w="915" w:type="dxa"/>
                  <w:noWrap w:val="0"/>
                  <w:vAlign w:val="center"/>
                </w:tcPr>
                <w:p>
                  <w:pPr>
                    <w:spacing w:line="240" w:lineRule="atLeast"/>
                    <w:jc w:val="center"/>
                    <w:rPr>
                      <w:rFonts w:hint="default" w:ascii="Times New Roman" w:hAnsi="Times New Roman" w:eastAsia="宋体" w:cs="Times New Roman"/>
                      <w:color w:val="auto"/>
                      <w:kern w:val="2"/>
                      <w:sz w:val="21"/>
                      <w:szCs w:val="21"/>
                      <w:highlight w:val="none"/>
                      <w:lang w:val="en-US" w:eastAsia="zh-CN" w:bidi="ar-SA"/>
                    </w:rPr>
                  </w:pPr>
                  <w:r>
                    <w:rPr>
                      <w:rFonts w:hint="eastAsia"/>
                      <w:color w:val="auto"/>
                      <w:szCs w:val="21"/>
                      <w:highlight w:val="none"/>
                      <w:lang w:val="en-US" w:eastAsia="zh-CN"/>
                    </w:rPr>
                    <w:t>1.5</w:t>
                  </w:r>
                </w:p>
              </w:tc>
              <w:tc>
                <w:tcPr>
                  <w:tcW w:w="846" w:type="dxa"/>
                  <w:noWrap w:val="0"/>
                  <w:vAlign w:val="center"/>
                </w:tcPr>
                <w:p>
                  <w:pPr>
                    <w:spacing w:line="240" w:lineRule="atLeast"/>
                    <w:jc w:val="center"/>
                    <w:rPr>
                      <w:rFonts w:hint="eastAsia" w:ascii="Times New Roman" w:hAnsi="Times New Roman" w:eastAsia="宋体" w:cs="Times New Roman"/>
                      <w:color w:val="auto"/>
                      <w:kern w:val="2"/>
                      <w:sz w:val="21"/>
                      <w:szCs w:val="21"/>
                      <w:lang w:val="en-US" w:eastAsia="zh-CN" w:bidi="ar-SA"/>
                    </w:rPr>
                  </w:pPr>
                  <w:r>
                    <w:rPr>
                      <w:color w:val="auto"/>
                      <w:szCs w:val="21"/>
                    </w:rPr>
                    <w:t>0</w:t>
                  </w:r>
                </w:p>
              </w:tc>
              <w:tc>
                <w:tcPr>
                  <w:tcW w:w="2632" w:type="dxa"/>
                  <w:noWrap w:val="0"/>
                  <w:vAlign w:val="center"/>
                </w:tcPr>
                <w:p>
                  <w:pPr>
                    <w:spacing w:line="240" w:lineRule="atLeast"/>
                    <w:rPr>
                      <w:rFonts w:hint="eastAsia" w:ascii="Times New Roman" w:hAnsi="Times New Roman" w:eastAsia="宋体" w:cs="Times New Roman"/>
                      <w:color w:val="auto"/>
                      <w:kern w:val="2"/>
                      <w:sz w:val="21"/>
                      <w:szCs w:val="21"/>
                      <w:lang w:val="en-US" w:eastAsia="zh-CN" w:bidi="ar-SA"/>
                    </w:rPr>
                  </w:pPr>
                  <w:r>
                    <w:rPr>
                      <w:rFonts w:hint="eastAsia"/>
                      <w:color w:val="auto"/>
                      <w:szCs w:val="21"/>
                      <w:lang w:val="en-US" w:eastAsia="zh-CN"/>
                    </w:rPr>
                    <w:t>由城市环卫部门定期清运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37" w:type="dxa"/>
                  <w:gridSpan w:val="3"/>
                  <w:noWrap w:val="0"/>
                  <w:vAlign w:val="center"/>
                </w:tcPr>
                <w:p>
                  <w:pPr>
                    <w:spacing w:line="240" w:lineRule="atLeast"/>
                    <w:jc w:val="center"/>
                    <w:rPr>
                      <w:color w:val="auto"/>
                      <w:szCs w:val="21"/>
                    </w:rPr>
                  </w:pPr>
                  <w:r>
                    <w:rPr>
                      <w:color w:val="auto"/>
                      <w:szCs w:val="21"/>
                    </w:rPr>
                    <w:t>合计</w:t>
                  </w:r>
                </w:p>
              </w:tc>
              <w:tc>
                <w:tcPr>
                  <w:tcW w:w="915" w:type="dxa"/>
                  <w:noWrap w:val="0"/>
                  <w:vAlign w:val="center"/>
                </w:tcPr>
                <w:p>
                  <w:pPr>
                    <w:spacing w:line="240" w:lineRule="atLeast"/>
                    <w:jc w:val="center"/>
                    <w:rPr>
                      <w:rFonts w:hint="default" w:eastAsia="宋体"/>
                      <w:color w:val="auto"/>
                      <w:szCs w:val="21"/>
                      <w:highlight w:val="none"/>
                      <w:lang w:val="en-US" w:eastAsia="zh-CN"/>
                    </w:rPr>
                  </w:pPr>
                  <w:r>
                    <w:rPr>
                      <w:rFonts w:hint="eastAsia"/>
                      <w:color w:val="auto"/>
                      <w:szCs w:val="21"/>
                      <w:highlight w:val="none"/>
                      <w:lang w:val="en-US" w:eastAsia="zh-CN"/>
                    </w:rPr>
                    <w:t>6.717</w:t>
                  </w:r>
                </w:p>
              </w:tc>
              <w:tc>
                <w:tcPr>
                  <w:tcW w:w="846" w:type="dxa"/>
                  <w:noWrap w:val="0"/>
                  <w:vAlign w:val="center"/>
                </w:tcPr>
                <w:p>
                  <w:pPr>
                    <w:spacing w:line="240" w:lineRule="atLeast"/>
                    <w:jc w:val="center"/>
                    <w:rPr>
                      <w:color w:val="auto"/>
                      <w:szCs w:val="21"/>
                    </w:rPr>
                  </w:pPr>
                  <w:r>
                    <w:rPr>
                      <w:color w:val="auto"/>
                      <w:szCs w:val="21"/>
                    </w:rPr>
                    <w:t>0</w:t>
                  </w:r>
                </w:p>
              </w:tc>
              <w:tc>
                <w:tcPr>
                  <w:tcW w:w="2632" w:type="dxa"/>
                  <w:noWrap w:val="0"/>
                  <w:vAlign w:val="center"/>
                </w:tcPr>
                <w:p>
                  <w:pPr>
                    <w:spacing w:line="240" w:lineRule="atLeast"/>
                    <w:jc w:val="center"/>
                    <w:rPr>
                      <w:color w:val="auto"/>
                      <w:szCs w:val="21"/>
                    </w:rPr>
                  </w:pPr>
                  <w:r>
                    <w:rPr>
                      <w:color w:val="auto"/>
                      <w:szCs w:val="21"/>
                    </w:rPr>
                    <w:t>/</w:t>
                  </w:r>
                </w:p>
              </w:tc>
            </w:tr>
          </w:tbl>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cs="Times New Roman"/>
                <w:b/>
                <w:sz w:val="24"/>
                <w:szCs w:val="24"/>
                <w:lang w:val="en-US" w:eastAsia="zh-CN"/>
              </w:rPr>
            </w:pPr>
            <w:r>
              <w:rPr>
                <w:rFonts w:hint="eastAsia" w:cs="Times New Roman"/>
                <w:b w:val="0"/>
                <w:bCs/>
                <w:sz w:val="24"/>
                <w:szCs w:val="24"/>
                <w:lang w:val="en-US" w:eastAsia="zh-CN"/>
              </w:rPr>
              <w:t>项目在车间内设置1处一般工业固体废物暂存间，占地面积</w:t>
            </w:r>
            <w:r>
              <w:rPr>
                <w:rFonts w:hint="eastAsia" w:cs="Times New Roman"/>
                <w:color w:val="auto"/>
                <w:sz w:val="24"/>
                <w:szCs w:val="24"/>
                <w:lang w:val="en-US" w:eastAsia="zh-CN"/>
              </w:rPr>
              <w:t>约</w:t>
            </w:r>
            <w:r>
              <w:rPr>
                <w:rFonts w:hint="eastAsia" w:cs="Times New Roman"/>
                <w:b w:val="0"/>
                <w:bCs/>
                <w:sz w:val="24"/>
                <w:szCs w:val="24"/>
                <w:lang w:val="en-US" w:eastAsia="zh-CN"/>
              </w:rPr>
              <w:t>为10m</w:t>
            </w:r>
            <w:r>
              <w:rPr>
                <w:rFonts w:hint="eastAsia" w:cs="Times New Roman"/>
                <w:b w:val="0"/>
                <w:bCs/>
                <w:sz w:val="24"/>
                <w:szCs w:val="24"/>
                <w:vertAlign w:val="superscript"/>
                <w:lang w:val="en-US" w:eastAsia="zh-CN"/>
              </w:rPr>
              <w:t>2</w:t>
            </w:r>
            <w:r>
              <w:rPr>
                <w:rFonts w:hint="eastAsia" w:cs="Times New Roman"/>
                <w:b w:val="0"/>
                <w:bCs/>
                <w:sz w:val="24"/>
                <w:szCs w:val="24"/>
                <w:lang w:val="en-US" w:eastAsia="zh-CN"/>
              </w:rPr>
              <w:t>，固废暂存间设置应按照</w:t>
            </w:r>
            <w:r>
              <w:rPr>
                <w:rFonts w:ascii="Times New Roman" w:hAnsi="Times New Roman"/>
                <w:b w:val="0"/>
                <w:bCs w:val="0"/>
                <w:color w:val="auto"/>
                <w:kern w:val="2"/>
                <w:sz w:val="24"/>
                <w:szCs w:val="24"/>
                <w:lang w:val="en-US" w:eastAsia="zh-CN"/>
              </w:rPr>
              <w:t>《一般工业固体废物贮存、处理场污染控制标准》（GB18599-2001）及其修改单要求</w:t>
            </w:r>
            <w:r>
              <w:rPr>
                <w:rFonts w:hint="eastAsia"/>
                <w:b w:val="0"/>
                <w:bCs w:val="0"/>
                <w:color w:val="auto"/>
                <w:kern w:val="2"/>
                <w:sz w:val="24"/>
                <w:szCs w:val="24"/>
                <w:lang w:val="en-US" w:eastAsia="zh-CN"/>
              </w:rPr>
              <w:t>。项目固体废物分类储存，有合理的处置去向，因此，固体废物不会产生二次污染，对周边环境影响较小。</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cs="Times New Roman"/>
                <w:b/>
                <w:sz w:val="24"/>
                <w:szCs w:val="24"/>
              </w:rPr>
            </w:pPr>
            <w:r>
              <w:rPr>
                <w:rFonts w:hint="eastAsia" w:ascii="Times New Roman" w:hAnsi="Times New Roman" w:cs="Times New Roman"/>
                <w:b/>
                <w:sz w:val="24"/>
                <w:szCs w:val="24"/>
                <w:lang w:val="en-US" w:eastAsia="zh-CN"/>
              </w:rPr>
              <w:t>5、</w:t>
            </w:r>
            <w:r>
              <w:rPr>
                <w:rFonts w:hint="eastAsia" w:ascii="Times New Roman" w:hAnsi="Times New Roman" w:cs="Times New Roman"/>
                <w:b/>
                <w:sz w:val="24"/>
                <w:szCs w:val="24"/>
              </w:rPr>
              <w:t>土壤环境影响分析</w:t>
            </w:r>
          </w:p>
          <w:p>
            <w:pPr>
              <w:adjustRightInd w:val="0"/>
              <w:snapToGrid w:val="0"/>
              <w:spacing w:line="360" w:lineRule="auto"/>
              <w:ind w:firstLine="480" w:firstLineChars="200"/>
              <w:rPr>
                <w:b/>
                <w:color w:val="auto"/>
                <w:sz w:val="24"/>
              </w:rPr>
            </w:pPr>
            <w:r>
              <w:rPr>
                <w:color w:val="auto"/>
                <w:sz w:val="24"/>
              </w:rPr>
              <w:t>根据《环境影响评价技术导则 土壤环境（试行）》（HJ964-2018）附录A表A.1，该项目</w:t>
            </w:r>
            <w:r>
              <w:rPr>
                <w:rFonts w:hint="eastAsia"/>
                <w:color w:val="auto"/>
                <w:sz w:val="24"/>
                <w:lang w:val="en-US" w:eastAsia="zh-CN"/>
              </w:rPr>
              <w:t>列为</w:t>
            </w:r>
            <w:r>
              <w:rPr>
                <w:rFonts w:hint="eastAsia"/>
                <w:color w:val="auto"/>
                <w:sz w:val="24"/>
                <w:lang w:eastAsia="zh-CN"/>
              </w:rPr>
              <w:t>“</w:t>
            </w:r>
            <w:r>
              <w:rPr>
                <w:rFonts w:hint="eastAsia"/>
                <w:color w:val="auto"/>
                <w:sz w:val="24"/>
                <w:lang w:val="en-US" w:eastAsia="zh-CN"/>
              </w:rPr>
              <w:t>其他行业</w:t>
            </w:r>
            <w:r>
              <w:rPr>
                <w:rFonts w:hint="eastAsia"/>
                <w:color w:val="auto"/>
                <w:sz w:val="24"/>
                <w:lang w:eastAsia="zh-CN"/>
              </w:rPr>
              <w:t>”</w:t>
            </w:r>
            <w:r>
              <w:rPr>
                <w:rFonts w:hint="eastAsia"/>
                <w:color w:val="auto"/>
                <w:sz w:val="24"/>
                <w:lang w:val="en-US" w:eastAsia="zh-CN"/>
              </w:rPr>
              <w:t>，</w:t>
            </w:r>
            <w:r>
              <w:rPr>
                <w:color w:val="auto"/>
                <w:sz w:val="24"/>
              </w:rPr>
              <w:t>属于</w:t>
            </w:r>
            <w:r>
              <w:rPr>
                <w:color w:val="auto"/>
                <w:sz w:val="24"/>
              </w:rPr>
              <w:fldChar w:fldCharType="begin"/>
            </w:r>
            <w:r>
              <w:rPr>
                <w:color w:val="auto"/>
                <w:sz w:val="24"/>
              </w:rPr>
              <w:instrText xml:space="preserve"> = 4 \* ROMAN \* MERGEFORMAT </w:instrText>
            </w:r>
            <w:r>
              <w:rPr>
                <w:color w:val="auto"/>
                <w:sz w:val="24"/>
              </w:rPr>
              <w:fldChar w:fldCharType="separate"/>
            </w:r>
            <w:r>
              <w:rPr>
                <w:color w:val="auto"/>
                <w:sz w:val="24"/>
              </w:rPr>
              <w:t>IV</w:t>
            </w:r>
            <w:r>
              <w:rPr>
                <w:color w:val="auto"/>
                <w:sz w:val="24"/>
              </w:rPr>
              <w:fldChar w:fldCharType="end"/>
            </w:r>
            <w:r>
              <w:rPr>
                <w:color w:val="auto"/>
                <w:sz w:val="24"/>
              </w:rPr>
              <w:t>类项目，本项目可不开展土壤环境评价工作。</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b/>
                <w:sz w:val="24"/>
                <w:szCs w:val="24"/>
              </w:rPr>
            </w:pPr>
            <w:r>
              <w:rPr>
                <w:rFonts w:hint="eastAsia"/>
                <w:b/>
                <w:sz w:val="24"/>
                <w:szCs w:val="24"/>
                <w:lang w:val="en-US" w:eastAsia="zh-CN"/>
              </w:rPr>
              <w:t>6、</w:t>
            </w:r>
            <w:r>
              <w:rPr>
                <w:rFonts w:hint="eastAsia"/>
                <w:b/>
                <w:sz w:val="24"/>
                <w:szCs w:val="24"/>
              </w:rPr>
              <w:t>环境风险分析</w:t>
            </w:r>
          </w:p>
          <w:p>
            <w:pPr>
              <w:adjustRightInd w:val="0"/>
              <w:snapToGrid w:val="0"/>
              <w:spacing w:line="360" w:lineRule="auto"/>
              <w:ind w:firstLine="480" w:firstLineChars="200"/>
              <w:rPr>
                <w:color w:val="auto"/>
                <w:sz w:val="24"/>
              </w:rPr>
            </w:pPr>
            <w:r>
              <w:rPr>
                <w:color w:val="auto"/>
                <w:sz w:val="24"/>
              </w:rPr>
              <w:t>项目</w:t>
            </w:r>
            <w:r>
              <w:rPr>
                <w:rFonts w:hint="eastAsia"/>
                <w:color w:val="auto"/>
                <w:sz w:val="24"/>
                <w:lang w:val="en-US" w:eastAsia="zh-CN"/>
              </w:rPr>
              <w:t>原料为植物的花、叶，不涉及</w:t>
            </w:r>
            <w:r>
              <w:rPr>
                <w:color w:val="auto"/>
                <w:sz w:val="24"/>
              </w:rPr>
              <w:t>根据《建设项目环境风险评价技术导则》（HJ169-2018）附录B，</w:t>
            </w:r>
            <w:r>
              <w:rPr>
                <w:rFonts w:hint="eastAsia"/>
                <w:color w:val="auto"/>
                <w:sz w:val="24"/>
                <w:lang w:val="en-US" w:eastAsia="zh-CN"/>
              </w:rPr>
              <w:t>所列的</w:t>
            </w:r>
            <w:r>
              <w:rPr>
                <w:color w:val="auto"/>
                <w:sz w:val="24"/>
              </w:rPr>
              <w:t>危险物质，</w:t>
            </w:r>
            <w:r>
              <w:rPr>
                <w:bCs/>
                <w:color w:val="auto"/>
                <w:sz w:val="24"/>
                <w:szCs w:val="22"/>
              </w:rPr>
              <w:t>项目环境风险潜势值为</w:t>
            </w:r>
            <w:r>
              <w:rPr>
                <w:bCs/>
                <w:color w:val="auto"/>
                <w:sz w:val="24"/>
                <w:szCs w:val="22"/>
              </w:rPr>
              <w:fldChar w:fldCharType="begin"/>
            </w:r>
            <w:r>
              <w:rPr>
                <w:bCs/>
                <w:color w:val="auto"/>
                <w:sz w:val="24"/>
                <w:szCs w:val="22"/>
              </w:rPr>
              <w:instrText xml:space="preserve"> = 1 \* ROMAN </w:instrText>
            </w:r>
            <w:r>
              <w:rPr>
                <w:bCs/>
                <w:color w:val="auto"/>
                <w:sz w:val="24"/>
                <w:szCs w:val="22"/>
              </w:rPr>
              <w:fldChar w:fldCharType="separate"/>
            </w:r>
            <w:r>
              <w:rPr>
                <w:bCs/>
                <w:color w:val="auto"/>
                <w:sz w:val="24"/>
                <w:szCs w:val="22"/>
              </w:rPr>
              <w:t>I</w:t>
            </w:r>
            <w:r>
              <w:rPr>
                <w:bCs/>
                <w:color w:val="auto"/>
                <w:sz w:val="24"/>
                <w:szCs w:val="22"/>
              </w:rPr>
              <w:fldChar w:fldCharType="end"/>
            </w:r>
            <w:r>
              <w:rPr>
                <w:bCs/>
                <w:color w:val="auto"/>
                <w:sz w:val="24"/>
                <w:szCs w:val="22"/>
              </w:rPr>
              <w:t>，环境风险简单分析。</w:t>
            </w:r>
          </w:p>
          <w:p>
            <w:pPr>
              <w:keepNext w:val="0"/>
              <w:keepLines w:val="0"/>
              <w:pageBreakBefore w:val="0"/>
              <w:widowControl w:val="0"/>
              <w:kinsoku/>
              <w:wordWrap/>
              <w:overflowPunct/>
              <w:topLinePunct w:val="0"/>
              <w:autoSpaceDE/>
              <w:autoSpaceDN/>
              <w:bidi w:val="0"/>
              <w:adjustRightInd w:val="0"/>
              <w:snapToGrid w:val="0"/>
              <w:spacing w:line="360" w:lineRule="auto"/>
              <w:ind w:firstLine="482"/>
              <w:textAlignment w:val="auto"/>
              <w:rPr>
                <w:color w:val="auto"/>
                <w:sz w:val="24"/>
                <w:highlight w:val="none"/>
              </w:rPr>
            </w:pPr>
            <w:r>
              <w:rPr>
                <w:rFonts w:hint="eastAsia"/>
                <w:color w:val="auto"/>
                <w:sz w:val="24"/>
                <w:highlight w:val="none"/>
                <w:lang w:val="en-US" w:eastAsia="zh-CN"/>
              </w:rPr>
              <w:t>项目主要风险类型为污水处理站不能正常运转，导致出水超标，排入市政污水管网。如果污水处理站出现故障，建设单位应立即停产，维修设备，待污水处理站正常运行，方可运行。建设单位</w:t>
            </w:r>
            <w:r>
              <w:rPr>
                <w:color w:val="auto"/>
                <w:sz w:val="24"/>
                <w:highlight w:val="none"/>
              </w:rPr>
              <w:t>在确保</w:t>
            </w:r>
            <w:r>
              <w:rPr>
                <w:rFonts w:hint="eastAsia"/>
                <w:color w:val="auto"/>
                <w:sz w:val="24"/>
                <w:highlight w:val="none"/>
                <w:lang w:val="en-US" w:eastAsia="zh-CN"/>
              </w:rPr>
              <w:t>风险防范</w:t>
            </w:r>
            <w:r>
              <w:rPr>
                <w:color w:val="auto"/>
                <w:sz w:val="24"/>
                <w:highlight w:val="none"/>
              </w:rPr>
              <w:t>措施落实到位的情况下，项目运营过程的环境风险影响可防控。</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firstLine="482" w:firstLineChars="200"/>
              <w:textAlignment w:val="auto"/>
              <w:rPr>
                <w:rFonts w:hint="eastAsia" w:cs="Times New Roman"/>
                <w:b/>
                <w:sz w:val="24"/>
                <w:szCs w:val="24"/>
                <w:lang w:val="en-US" w:eastAsia="zh-CN"/>
              </w:rPr>
            </w:pPr>
            <w:r>
              <w:rPr>
                <w:rFonts w:hint="eastAsia" w:cs="Times New Roman"/>
                <w:b/>
                <w:sz w:val="24"/>
                <w:szCs w:val="24"/>
                <w:lang w:val="en-US" w:eastAsia="zh-CN"/>
              </w:rPr>
              <w:t>排污口规范化</w:t>
            </w:r>
          </w:p>
          <w:p>
            <w:pPr>
              <w:adjustRightInd w:val="0"/>
              <w:snapToGrid w:val="0"/>
              <w:spacing w:line="360" w:lineRule="auto"/>
              <w:ind w:firstLine="480" w:firstLineChars="200"/>
              <w:rPr>
                <w:color w:val="auto"/>
                <w:sz w:val="24"/>
              </w:rPr>
            </w:pPr>
            <w:r>
              <w:rPr>
                <w:color w:val="auto"/>
                <w:sz w:val="24"/>
              </w:rPr>
              <w:t>根据《关于开展排放口规范化整治工作的通知》环发[1999]24号和《排放口规范化整治技术》环发[1999]24号文，一切新建、扩建、改建的排污单位以及限期治理的排污单位必须在建设污染治理设施的同时，建设规范化排放口。</w:t>
            </w:r>
          </w:p>
          <w:p>
            <w:pPr>
              <w:adjustRightInd w:val="0"/>
              <w:snapToGrid w:val="0"/>
              <w:spacing w:line="360" w:lineRule="auto"/>
              <w:ind w:firstLine="480" w:firstLineChars="200"/>
              <w:rPr>
                <w:color w:val="auto"/>
                <w:kern w:val="0"/>
                <w:sz w:val="24"/>
                <w:lang w:val="zh-CN"/>
              </w:rPr>
            </w:pPr>
            <w:r>
              <w:rPr>
                <w:color w:val="auto"/>
                <w:sz w:val="24"/>
              </w:rPr>
              <w:t>项目所在厂区</w:t>
            </w:r>
            <w:r>
              <w:rPr>
                <w:rFonts w:hint="eastAsia"/>
                <w:color w:val="auto"/>
                <w:sz w:val="24"/>
                <w:lang w:val="en-US" w:eastAsia="zh-CN"/>
              </w:rPr>
              <w:t>北侧</w:t>
            </w:r>
            <w:r>
              <w:rPr>
                <w:color w:val="auto"/>
                <w:sz w:val="24"/>
              </w:rPr>
              <w:t>设置</w:t>
            </w:r>
            <w:r>
              <w:rPr>
                <w:rFonts w:hint="eastAsia"/>
                <w:color w:val="auto"/>
                <w:sz w:val="24"/>
                <w:lang w:val="en-US" w:eastAsia="zh-CN"/>
              </w:rPr>
              <w:t>一个</w:t>
            </w:r>
            <w:r>
              <w:rPr>
                <w:color w:val="auto"/>
                <w:sz w:val="24"/>
              </w:rPr>
              <w:t>污水排污口，污水排放口须按照《山东省污水排放口环境信息公开技术规范》（DB37/T2643-2014）</w:t>
            </w:r>
            <w:r>
              <w:rPr>
                <w:color w:val="auto"/>
                <w:kern w:val="0"/>
                <w:sz w:val="24"/>
                <w:lang w:val="zh-CN"/>
              </w:rPr>
              <w:t>及《青岛市污水排放口环境信息公开实施方案》要求，将污水排放口设在厂界（以外）附近，设置排污口标志牌，便于公众监督和执法监察。</w:t>
            </w:r>
          </w:p>
          <w:p>
            <w:pPr>
              <w:adjustRightInd w:val="0"/>
              <w:snapToGrid w:val="0"/>
              <w:spacing w:line="360" w:lineRule="auto"/>
              <w:ind w:firstLine="480" w:firstLineChars="200"/>
              <w:rPr>
                <w:color w:val="auto"/>
                <w:sz w:val="24"/>
              </w:rPr>
            </w:pPr>
            <w:r>
              <w:rPr>
                <w:color w:val="auto"/>
                <w:sz w:val="24"/>
              </w:rPr>
              <w:t>建设单位应将污染</w:t>
            </w:r>
            <w:r>
              <w:rPr>
                <w:rFonts w:hint="eastAsia"/>
                <w:color w:val="auto"/>
                <w:sz w:val="24"/>
                <w:lang w:val="en-US" w:eastAsia="zh-CN"/>
              </w:rPr>
              <w:t>物</w:t>
            </w:r>
            <w:r>
              <w:rPr>
                <w:color w:val="auto"/>
                <w:sz w:val="24"/>
              </w:rPr>
              <w:t>排放口名称、位置、数量，以及排放污染物名称、数量等 内容进行统计，并登记上报环保主管部门，以便进行验收和排放口的规范化管理。</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Times New Roman" w:hAnsi="Times New Roman" w:cs="Times New Roman"/>
                <w:b/>
                <w:sz w:val="24"/>
                <w:szCs w:val="24"/>
                <w:lang w:val="en-US" w:eastAsia="zh-CN"/>
              </w:rPr>
            </w:pPr>
            <w:r>
              <w:rPr>
                <w:rFonts w:hint="eastAsia" w:cs="Times New Roman"/>
                <w:b/>
                <w:sz w:val="24"/>
                <w:szCs w:val="24"/>
                <w:lang w:val="en-US" w:eastAsia="zh-CN"/>
              </w:rPr>
              <w:t>8、</w:t>
            </w:r>
            <w:r>
              <w:rPr>
                <w:rFonts w:hint="eastAsia" w:ascii="Times New Roman" w:hAnsi="Times New Roman" w:cs="Times New Roman"/>
                <w:b/>
                <w:sz w:val="24"/>
                <w:szCs w:val="24"/>
                <w:lang w:val="en-US" w:eastAsia="zh-CN"/>
              </w:rPr>
              <w:t>环境监测计划</w:t>
            </w:r>
          </w:p>
          <w:p>
            <w:pPr>
              <w:adjustRightInd w:val="0"/>
              <w:snapToGrid w:val="0"/>
              <w:spacing w:line="360" w:lineRule="auto"/>
              <w:ind w:firstLine="480" w:firstLineChars="200"/>
              <w:rPr>
                <w:color w:val="auto"/>
                <w:sz w:val="24"/>
              </w:rPr>
            </w:pPr>
            <w:r>
              <w:rPr>
                <w:color w:val="auto"/>
                <w:sz w:val="24"/>
              </w:rPr>
              <w:t>根据《</w:t>
            </w:r>
            <w:r>
              <w:rPr>
                <w:bCs/>
                <w:color w:val="auto"/>
                <w:sz w:val="24"/>
              </w:rPr>
              <w:fldChar w:fldCharType="begin"/>
            </w:r>
            <w:r>
              <w:rPr>
                <w:bCs/>
                <w:color w:val="auto"/>
                <w:sz w:val="24"/>
              </w:rPr>
              <w:instrText xml:space="preserve"> HYPERLINK "https://www.baidu.com/link?url=-a0JjuV8WGzk_4jiLkvWJQD02cPlcZEbD0lPeTtpjtbv_kxQR6wojmJLAgK1c4nswr2yK3mAIZlb2yo6nA2Wn3ZIHA6zRqqzjSulmI9wSjkRYHXNQW79DN8vNHI1pT8n&amp;wd=&amp;eqid=fa588fa80000b78f000000045afb9fc6" \t "_blank" </w:instrText>
            </w:r>
            <w:r>
              <w:rPr>
                <w:bCs/>
                <w:color w:val="auto"/>
                <w:sz w:val="24"/>
              </w:rPr>
              <w:fldChar w:fldCharType="separate"/>
            </w:r>
            <w:r>
              <w:rPr>
                <w:bCs/>
                <w:color w:val="auto"/>
                <w:sz w:val="24"/>
              </w:rPr>
              <w:t>排污单位自行监测技术指南 总则</w:t>
            </w:r>
            <w:r>
              <w:rPr>
                <w:color w:val="auto"/>
                <w:sz w:val="24"/>
              </w:rPr>
              <w:fldChar w:fldCharType="end"/>
            </w:r>
            <w:r>
              <w:rPr>
                <w:color w:val="auto"/>
                <w:sz w:val="24"/>
              </w:rPr>
              <w:t>》（HJ819-2017），本项目建成后，该项目环境监测计划具体见表</w:t>
            </w:r>
            <w:r>
              <w:rPr>
                <w:rFonts w:hint="eastAsia"/>
                <w:color w:val="auto"/>
                <w:sz w:val="24"/>
                <w:lang w:val="en-US" w:eastAsia="zh-CN"/>
              </w:rPr>
              <w:t>11</w:t>
            </w:r>
            <w:r>
              <w:rPr>
                <w:color w:val="auto"/>
                <w:sz w:val="24"/>
              </w:rPr>
              <w:t>。</w:t>
            </w:r>
          </w:p>
          <w:p>
            <w:pPr>
              <w:adjustRightInd w:val="0"/>
              <w:snapToGrid w:val="0"/>
              <w:spacing w:line="360" w:lineRule="auto"/>
              <w:ind w:firstLine="510"/>
              <w:jc w:val="center"/>
              <w:rPr>
                <w:rFonts w:eastAsia="黑体"/>
                <w:color w:val="auto"/>
                <w:szCs w:val="21"/>
              </w:rPr>
            </w:pPr>
            <w:r>
              <w:rPr>
                <w:rFonts w:eastAsia="黑体"/>
                <w:color w:val="auto"/>
                <w:szCs w:val="21"/>
              </w:rPr>
              <w:t>表</w:t>
            </w:r>
            <w:r>
              <w:rPr>
                <w:rFonts w:hint="eastAsia" w:eastAsia="黑体"/>
                <w:color w:val="auto"/>
                <w:szCs w:val="21"/>
                <w:lang w:val="en-US" w:eastAsia="zh-CN"/>
              </w:rPr>
              <w:t>11</w:t>
            </w:r>
            <w:r>
              <w:rPr>
                <w:rFonts w:eastAsia="黑体"/>
                <w:color w:val="auto"/>
                <w:szCs w:val="21"/>
              </w:rPr>
              <w:t xml:space="preserve"> 项目污染源监测计划</w:t>
            </w:r>
          </w:p>
          <w:tbl>
            <w:tblPr>
              <w:tblStyle w:val="37"/>
              <w:tblW w:w="8907"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760"/>
              <w:gridCol w:w="2433"/>
              <w:gridCol w:w="1849"/>
              <w:gridCol w:w="2418"/>
              <w:gridCol w:w="1447"/>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60" w:type="dxa"/>
                  <w:noWrap w:val="0"/>
                  <w:vAlign w:val="center"/>
                </w:tcPr>
                <w:p>
                  <w:pPr>
                    <w:adjustRightInd w:val="0"/>
                    <w:snapToGrid w:val="0"/>
                    <w:spacing w:line="240" w:lineRule="atLeast"/>
                    <w:jc w:val="center"/>
                    <w:rPr>
                      <w:bCs/>
                      <w:color w:val="auto"/>
                      <w:szCs w:val="21"/>
                    </w:rPr>
                  </w:pPr>
                  <w:r>
                    <w:rPr>
                      <w:bCs/>
                      <w:color w:val="auto"/>
                      <w:szCs w:val="21"/>
                    </w:rPr>
                    <w:t>类型</w:t>
                  </w:r>
                </w:p>
              </w:tc>
              <w:tc>
                <w:tcPr>
                  <w:tcW w:w="2433" w:type="dxa"/>
                  <w:noWrap w:val="0"/>
                  <w:vAlign w:val="center"/>
                </w:tcPr>
                <w:p>
                  <w:pPr>
                    <w:adjustRightInd w:val="0"/>
                    <w:snapToGrid w:val="0"/>
                    <w:spacing w:line="240" w:lineRule="atLeast"/>
                    <w:jc w:val="center"/>
                    <w:rPr>
                      <w:bCs/>
                      <w:color w:val="auto"/>
                      <w:szCs w:val="21"/>
                    </w:rPr>
                  </w:pPr>
                  <w:r>
                    <w:rPr>
                      <w:bCs/>
                      <w:color w:val="auto"/>
                      <w:szCs w:val="21"/>
                    </w:rPr>
                    <w:t>产污环节</w:t>
                  </w:r>
                </w:p>
              </w:tc>
              <w:tc>
                <w:tcPr>
                  <w:tcW w:w="1849" w:type="dxa"/>
                  <w:noWrap w:val="0"/>
                  <w:vAlign w:val="center"/>
                </w:tcPr>
                <w:p>
                  <w:pPr>
                    <w:adjustRightInd w:val="0"/>
                    <w:snapToGrid w:val="0"/>
                    <w:spacing w:line="240" w:lineRule="atLeast"/>
                    <w:jc w:val="center"/>
                    <w:rPr>
                      <w:bCs/>
                      <w:color w:val="auto"/>
                      <w:szCs w:val="21"/>
                    </w:rPr>
                  </w:pPr>
                  <w:r>
                    <w:rPr>
                      <w:bCs/>
                      <w:color w:val="auto"/>
                      <w:szCs w:val="21"/>
                    </w:rPr>
                    <w:t>监测点位</w:t>
                  </w:r>
                </w:p>
              </w:tc>
              <w:tc>
                <w:tcPr>
                  <w:tcW w:w="2418" w:type="dxa"/>
                  <w:noWrap w:val="0"/>
                  <w:vAlign w:val="center"/>
                </w:tcPr>
                <w:p>
                  <w:pPr>
                    <w:adjustRightInd w:val="0"/>
                    <w:snapToGrid w:val="0"/>
                    <w:spacing w:line="240" w:lineRule="atLeast"/>
                    <w:jc w:val="center"/>
                    <w:rPr>
                      <w:bCs/>
                      <w:color w:val="auto"/>
                      <w:szCs w:val="21"/>
                    </w:rPr>
                  </w:pPr>
                  <w:r>
                    <w:rPr>
                      <w:bCs/>
                      <w:color w:val="auto"/>
                      <w:szCs w:val="21"/>
                    </w:rPr>
                    <w:t>监测项目</w:t>
                  </w:r>
                </w:p>
              </w:tc>
              <w:tc>
                <w:tcPr>
                  <w:tcW w:w="1447" w:type="dxa"/>
                  <w:noWrap w:val="0"/>
                  <w:vAlign w:val="center"/>
                </w:tcPr>
                <w:p>
                  <w:pPr>
                    <w:adjustRightInd w:val="0"/>
                    <w:snapToGrid w:val="0"/>
                    <w:spacing w:line="240" w:lineRule="atLeast"/>
                    <w:jc w:val="center"/>
                    <w:rPr>
                      <w:bCs/>
                      <w:color w:val="auto"/>
                      <w:szCs w:val="21"/>
                    </w:rPr>
                  </w:pPr>
                  <w:r>
                    <w:rPr>
                      <w:bCs/>
                      <w:color w:val="auto"/>
                      <w:szCs w:val="21"/>
                    </w:rPr>
                    <w:t>监测频次</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60" w:type="dxa"/>
                  <w:noWrap w:val="0"/>
                  <w:vAlign w:val="center"/>
                </w:tcPr>
                <w:p>
                  <w:pPr>
                    <w:adjustRightInd w:val="0"/>
                    <w:snapToGrid w:val="0"/>
                    <w:spacing w:line="240" w:lineRule="atLeast"/>
                    <w:jc w:val="center"/>
                    <w:rPr>
                      <w:color w:val="auto"/>
                      <w:szCs w:val="21"/>
                    </w:rPr>
                  </w:pPr>
                  <w:r>
                    <w:rPr>
                      <w:color w:val="auto"/>
                      <w:szCs w:val="21"/>
                    </w:rPr>
                    <w:t>废水</w:t>
                  </w:r>
                </w:p>
              </w:tc>
              <w:tc>
                <w:tcPr>
                  <w:tcW w:w="2433" w:type="dxa"/>
                  <w:noWrap w:val="0"/>
                  <w:vAlign w:val="center"/>
                </w:tcPr>
                <w:p>
                  <w:pPr>
                    <w:adjustRightInd w:val="0"/>
                    <w:snapToGrid w:val="0"/>
                    <w:spacing w:line="240" w:lineRule="atLeast"/>
                    <w:jc w:val="center"/>
                    <w:rPr>
                      <w:rFonts w:hint="default" w:eastAsia="宋体"/>
                      <w:color w:val="auto"/>
                      <w:szCs w:val="21"/>
                      <w:lang w:val="en-US" w:eastAsia="zh-CN"/>
                    </w:rPr>
                  </w:pPr>
                  <w:r>
                    <w:rPr>
                      <w:color w:val="auto"/>
                      <w:szCs w:val="21"/>
                    </w:rPr>
                    <w:t>清洗</w:t>
                  </w:r>
                  <w:r>
                    <w:rPr>
                      <w:rFonts w:hint="eastAsia"/>
                      <w:color w:val="auto"/>
                      <w:szCs w:val="21"/>
                      <w:lang w:val="en-US" w:eastAsia="zh-CN"/>
                    </w:rPr>
                    <w:t>原料、设备、车间</w:t>
                  </w:r>
                  <w:r>
                    <w:rPr>
                      <w:rFonts w:hint="eastAsia"/>
                      <w:color w:val="auto"/>
                      <w:szCs w:val="21"/>
                      <w:lang w:eastAsia="zh-CN"/>
                    </w:rPr>
                    <w:t>、</w:t>
                  </w:r>
                  <w:r>
                    <w:rPr>
                      <w:rFonts w:hint="eastAsia"/>
                      <w:color w:val="auto"/>
                      <w:szCs w:val="21"/>
                      <w:lang w:val="en-US" w:eastAsia="zh-CN"/>
                    </w:rPr>
                    <w:t>生活污水</w:t>
                  </w:r>
                </w:p>
              </w:tc>
              <w:tc>
                <w:tcPr>
                  <w:tcW w:w="1849" w:type="dxa"/>
                  <w:noWrap w:val="0"/>
                  <w:vAlign w:val="center"/>
                </w:tcPr>
                <w:p>
                  <w:pPr>
                    <w:adjustRightInd w:val="0"/>
                    <w:snapToGrid w:val="0"/>
                    <w:spacing w:line="240" w:lineRule="atLeast"/>
                    <w:jc w:val="center"/>
                    <w:rPr>
                      <w:color w:val="auto"/>
                      <w:szCs w:val="21"/>
                    </w:rPr>
                  </w:pPr>
                  <w:r>
                    <w:rPr>
                      <w:color w:val="auto"/>
                      <w:szCs w:val="21"/>
                    </w:rPr>
                    <w:t>厂区污水排放口</w:t>
                  </w:r>
                </w:p>
              </w:tc>
              <w:tc>
                <w:tcPr>
                  <w:tcW w:w="2418" w:type="dxa"/>
                  <w:noWrap w:val="0"/>
                  <w:vAlign w:val="center"/>
                </w:tcPr>
                <w:p>
                  <w:pPr>
                    <w:adjustRightInd w:val="0"/>
                    <w:snapToGrid w:val="0"/>
                    <w:spacing w:line="240" w:lineRule="atLeast"/>
                    <w:jc w:val="center"/>
                    <w:rPr>
                      <w:color w:val="auto"/>
                      <w:szCs w:val="21"/>
                    </w:rPr>
                  </w:pPr>
                  <w:r>
                    <w:rPr>
                      <w:color w:val="auto"/>
                      <w:szCs w:val="21"/>
                    </w:rPr>
                    <w:t>COD</w:t>
                  </w:r>
                  <w:r>
                    <w:rPr>
                      <w:color w:val="auto"/>
                      <w:szCs w:val="21"/>
                      <w:vertAlign w:val="subscript"/>
                    </w:rPr>
                    <w:t>Cr</w:t>
                  </w:r>
                  <w:r>
                    <w:rPr>
                      <w:color w:val="auto"/>
                      <w:szCs w:val="21"/>
                    </w:rPr>
                    <w:t>、BOD</w:t>
                  </w:r>
                  <w:r>
                    <w:rPr>
                      <w:color w:val="auto"/>
                      <w:szCs w:val="21"/>
                      <w:vertAlign w:val="subscript"/>
                    </w:rPr>
                    <w:t>5</w:t>
                  </w:r>
                  <w:r>
                    <w:rPr>
                      <w:color w:val="auto"/>
                      <w:szCs w:val="21"/>
                    </w:rPr>
                    <w:t>、SS、氨氮</w:t>
                  </w:r>
                </w:p>
              </w:tc>
              <w:tc>
                <w:tcPr>
                  <w:tcW w:w="1447" w:type="dxa"/>
                  <w:noWrap w:val="0"/>
                  <w:vAlign w:val="center"/>
                </w:tcPr>
                <w:p>
                  <w:pPr>
                    <w:adjustRightInd w:val="0"/>
                    <w:snapToGrid w:val="0"/>
                    <w:spacing w:line="240" w:lineRule="atLeast"/>
                    <w:jc w:val="center"/>
                    <w:rPr>
                      <w:color w:val="auto"/>
                      <w:szCs w:val="21"/>
                    </w:rPr>
                  </w:pPr>
                  <w:r>
                    <w:rPr>
                      <w:color w:val="auto"/>
                      <w:szCs w:val="21"/>
                    </w:rPr>
                    <w:t>每半年一次</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8" w:hRule="atLeast"/>
                <w:jc w:val="center"/>
              </w:trPr>
              <w:tc>
                <w:tcPr>
                  <w:tcW w:w="760" w:type="dxa"/>
                  <w:noWrap w:val="0"/>
                  <w:vAlign w:val="center"/>
                </w:tcPr>
                <w:p>
                  <w:pPr>
                    <w:adjustRightInd w:val="0"/>
                    <w:snapToGrid w:val="0"/>
                    <w:spacing w:line="240" w:lineRule="atLeast"/>
                    <w:jc w:val="center"/>
                    <w:rPr>
                      <w:color w:val="auto"/>
                      <w:szCs w:val="21"/>
                    </w:rPr>
                  </w:pPr>
                  <w:r>
                    <w:rPr>
                      <w:color w:val="auto"/>
                      <w:szCs w:val="21"/>
                    </w:rPr>
                    <w:t>废气</w:t>
                  </w:r>
                </w:p>
              </w:tc>
              <w:tc>
                <w:tcPr>
                  <w:tcW w:w="2433" w:type="dxa"/>
                  <w:noWrap w:val="0"/>
                  <w:vAlign w:val="center"/>
                </w:tcPr>
                <w:p>
                  <w:pPr>
                    <w:adjustRightInd w:val="0"/>
                    <w:snapToGrid w:val="0"/>
                    <w:spacing w:line="240" w:lineRule="atLeast"/>
                    <w:jc w:val="center"/>
                    <w:rPr>
                      <w:rFonts w:hint="default" w:eastAsia="宋体"/>
                      <w:color w:val="auto"/>
                      <w:szCs w:val="21"/>
                      <w:lang w:val="en-US" w:eastAsia="zh-CN"/>
                    </w:rPr>
                  </w:pPr>
                  <w:r>
                    <w:rPr>
                      <w:rFonts w:hint="eastAsia"/>
                      <w:color w:val="auto"/>
                      <w:szCs w:val="21"/>
                      <w:lang w:val="en-US" w:eastAsia="zh-CN"/>
                    </w:rPr>
                    <w:t>提取、冷却及污水处理站</w:t>
                  </w:r>
                </w:p>
              </w:tc>
              <w:tc>
                <w:tcPr>
                  <w:tcW w:w="1849" w:type="dxa"/>
                  <w:noWrap w:val="0"/>
                  <w:vAlign w:val="center"/>
                </w:tcPr>
                <w:p>
                  <w:pPr>
                    <w:adjustRightInd w:val="0"/>
                    <w:snapToGrid w:val="0"/>
                    <w:spacing w:line="240" w:lineRule="atLeast"/>
                    <w:jc w:val="center"/>
                    <w:rPr>
                      <w:color w:val="auto"/>
                      <w:szCs w:val="21"/>
                    </w:rPr>
                  </w:pPr>
                  <w:r>
                    <w:rPr>
                      <w:color w:val="auto"/>
                      <w:szCs w:val="21"/>
                    </w:rPr>
                    <w:t>项目厂界</w:t>
                  </w:r>
                </w:p>
              </w:tc>
              <w:tc>
                <w:tcPr>
                  <w:tcW w:w="2418" w:type="dxa"/>
                  <w:noWrap w:val="0"/>
                  <w:vAlign w:val="center"/>
                </w:tcPr>
                <w:p>
                  <w:pPr>
                    <w:adjustRightInd w:val="0"/>
                    <w:snapToGrid w:val="0"/>
                    <w:spacing w:line="240" w:lineRule="atLeast"/>
                    <w:jc w:val="center"/>
                    <w:rPr>
                      <w:rFonts w:hint="eastAsia" w:eastAsia="宋体"/>
                      <w:color w:val="auto"/>
                      <w:szCs w:val="21"/>
                      <w:lang w:val="en-US" w:eastAsia="zh-CN"/>
                    </w:rPr>
                  </w:pPr>
                  <w:r>
                    <w:rPr>
                      <w:rFonts w:hint="eastAsia"/>
                      <w:color w:val="auto"/>
                      <w:szCs w:val="21"/>
                      <w:lang w:val="en-US" w:eastAsia="zh-CN"/>
                    </w:rPr>
                    <w:t>H</w:t>
                  </w:r>
                  <w:r>
                    <w:rPr>
                      <w:rFonts w:hint="eastAsia"/>
                      <w:color w:val="auto"/>
                      <w:szCs w:val="21"/>
                      <w:vertAlign w:val="subscript"/>
                      <w:lang w:val="en-US" w:eastAsia="zh-CN"/>
                    </w:rPr>
                    <w:t>2</w:t>
                  </w:r>
                  <w:r>
                    <w:rPr>
                      <w:rFonts w:hint="eastAsia"/>
                      <w:color w:val="auto"/>
                      <w:szCs w:val="21"/>
                      <w:lang w:val="en-US" w:eastAsia="zh-CN"/>
                    </w:rPr>
                    <w:t>S、NH</w:t>
                  </w:r>
                  <w:r>
                    <w:rPr>
                      <w:rFonts w:hint="eastAsia"/>
                      <w:color w:val="auto"/>
                      <w:szCs w:val="21"/>
                      <w:vertAlign w:val="subscript"/>
                      <w:lang w:val="en-US" w:eastAsia="zh-CN"/>
                    </w:rPr>
                    <w:t>3</w:t>
                  </w:r>
                  <w:r>
                    <w:rPr>
                      <w:rFonts w:hint="eastAsia"/>
                      <w:color w:val="auto"/>
                      <w:szCs w:val="21"/>
                      <w:lang w:val="en-US" w:eastAsia="zh-CN"/>
                    </w:rPr>
                    <w:t>、臭气浓度</w:t>
                  </w:r>
                </w:p>
              </w:tc>
              <w:tc>
                <w:tcPr>
                  <w:tcW w:w="1447" w:type="dxa"/>
                  <w:noWrap w:val="0"/>
                  <w:vAlign w:val="center"/>
                </w:tcPr>
                <w:p>
                  <w:pPr>
                    <w:adjustRightInd w:val="0"/>
                    <w:snapToGrid w:val="0"/>
                    <w:spacing w:line="240" w:lineRule="atLeast"/>
                    <w:jc w:val="center"/>
                    <w:rPr>
                      <w:color w:val="auto"/>
                      <w:szCs w:val="21"/>
                    </w:rPr>
                  </w:pPr>
                  <w:r>
                    <w:rPr>
                      <w:color w:val="auto"/>
                      <w:szCs w:val="21"/>
                    </w:rPr>
                    <w:t>每半年一次</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60" w:type="dxa"/>
                  <w:noWrap w:val="0"/>
                  <w:vAlign w:val="center"/>
                </w:tcPr>
                <w:p>
                  <w:pPr>
                    <w:adjustRightInd w:val="0"/>
                    <w:snapToGrid w:val="0"/>
                    <w:spacing w:line="240" w:lineRule="atLeast"/>
                    <w:jc w:val="center"/>
                    <w:rPr>
                      <w:color w:val="auto"/>
                      <w:szCs w:val="21"/>
                    </w:rPr>
                  </w:pPr>
                  <w:r>
                    <w:rPr>
                      <w:color w:val="auto"/>
                      <w:szCs w:val="21"/>
                    </w:rPr>
                    <w:t>噪声</w:t>
                  </w:r>
                </w:p>
              </w:tc>
              <w:tc>
                <w:tcPr>
                  <w:tcW w:w="2433" w:type="dxa"/>
                  <w:noWrap w:val="0"/>
                  <w:vAlign w:val="center"/>
                </w:tcPr>
                <w:p>
                  <w:pPr>
                    <w:adjustRightInd w:val="0"/>
                    <w:snapToGrid w:val="0"/>
                    <w:spacing w:line="240" w:lineRule="atLeast"/>
                    <w:jc w:val="center"/>
                    <w:rPr>
                      <w:color w:val="auto"/>
                      <w:szCs w:val="21"/>
                    </w:rPr>
                  </w:pPr>
                  <w:r>
                    <w:rPr>
                      <w:rFonts w:hint="eastAsia"/>
                      <w:color w:val="auto"/>
                      <w:szCs w:val="21"/>
                      <w:lang w:val="en-US" w:eastAsia="zh-CN"/>
                    </w:rPr>
                    <w:t>生产设备、泵类</w:t>
                  </w:r>
                  <w:r>
                    <w:rPr>
                      <w:color w:val="auto"/>
                      <w:szCs w:val="21"/>
                    </w:rPr>
                    <w:t>等</w:t>
                  </w:r>
                </w:p>
              </w:tc>
              <w:tc>
                <w:tcPr>
                  <w:tcW w:w="1849" w:type="dxa"/>
                  <w:noWrap w:val="0"/>
                  <w:vAlign w:val="center"/>
                </w:tcPr>
                <w:p>
                  <w:pPr>
                    <w:adjustRightInd w:val="0"/>
                    <w:snapToGrid w:val="0"/>
                    <w:spacing w:line="240" w:lineRule="atLeast"/>
                    <w:jc w:val="center"/>
                    <w:rPr>
                      <w:color w:val="auto"/>
                      <w:szCs w:val="21"/>
                    </w:rPr>
                  </w:pPr>
                  <w:r>
                    <w:rPr>
                      <w:color w:val="auto"/>
                      <w:szCs w:val="21"/>
                    </w:rPr>
                    <w:t>各厂界外1m处</w:t>
                  </w:r>
                </w:p>
              </w:tc>
              <w:tc>
                <w:tcPr>
                  <w:tcW w:w="2418" w:type="dxa"/>
                  <w:noWrap w:val="0"/>
                  <w:vAlign w:val="center"/>
                </w:tcPr>
                <w:p>
                  <w:pPr>
                    <w:adjustRightInd w:val="0"/>
                    <w:snapToGrid w:val="0"/>
                    <w:spacing w:line="240" w:lineRule="atLeast"/>
                    <w:jc w:val="center"/>
                    <w:rPr>
                      <w:color w:val="auto"/>
                      <w:szCs w:val="21"/>
                    </w:rPr>
                  </w:pPr>
                  <w:r>
                    <w:rPr>
                      <w:color w:val="auto"/>
                      <w:szCs w:val="21"/>
                    </w:rPr>
                    <w:t>厂界噪声</w:t>
                  </w:r>
                </w:p>
              </w:tc>
              <w:tc>
                <w:tcPr>
                  <w:tcW w:w="1447" w:type="dxa"/>
                  <w:noWrap w:val="0"/>
                  <w:vAlign w:val="center"/>
                </w:tcPr>
                <w:p>
                  <w:pPr>
                    <w:adjustRightInd w:val="0"/>
                    <w:snapToGrid w:val="0"/>
                    <w:spacing w:line="240" w:lineRule="atLeast"/>
                    <w:jc w:val="center"/>
                    <w:rPr>
                      <w:color w:val="auto"/>
                      <w:szCs w:val="21"/>
                    </w:rPr>
                  </w:pPr>
                  <w:r>
                    <w:rPr>
                      <w:color w:val="auto"/>
                      <w:szCs w:val="21"/>
                    </w:rPr>
                    <w:t>每季度一次</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60" w:type="dxa"/>
                  <w:noWrap w:val="0"/>
                  <w:vAlign w:val="center"/>
                </w:tcPr>
                <w:p>
                  <w:pPr>
                    <w:adjustRightInd w:val="0"/>
                    <w:snapToGrid w:val="0"/>
                    <w:spacing w:line="240" w:lineRule="atLeast"/>
                    <w:jc w:val="center"/>
                    <w:rPr>
                      <w:color w:val="auto"/>
                      <w:szCs w:val="21"/>
                    </w:rPr>
                  </w:pPr>
                  <w:r>
                    <w:rPr>
                      <w:color w:val="auto"/>
                      <w:szCs w:val="21"/>
                    </w:rPr>
                    <w:t>固废</w:t>
                  </w:r>
                </w:p>
              </w:tc>
              <w:tc>
                <w:tcPr>
                  <w:tcW w:w="2433" w:type="dxa"/>
                  <w:noWrap w:val="0"/>
                  <w:vAlign w:val="center"/>
                </w:tcPr>
                <w:p>
                  <w:pPr>
                    <w:adjustRightInd w:val="0"/>
                    <w:snapToGrid w:val="0"/>
                    <w:spacing w:line="240" w:lineRule="atLeast"/>
                    <w:jc w:val="center"/>
                    <w:rPr>
                      <w:color w:val="auto"/>
                      <w:szCs w:val="21"/>
                    </w:rPr>
                  </w:pPr>
                  <w:r>
                    <w:rPr>
                      <w:color w:val="auto"/>
                      <w:szCs w:val="21"/>
                    </w:rPr>
                    <w:t>运营过程</w:t>
                  </w:r>
                </w:p>
              </w:tc>
              <w:tc>
                <w:tcPr>
                  <w:tcW w:w="1849" w:type="dxa"/>
                  <w:noWrap w:val="0"/>
                  <w:vAlign w:val="center"/>
                </w:tcPr>
                <w:p>
                  <w:pPr>
                    <w:adjustRightInd w:val="0"/>
                    <w:snapToGrid w:val="0"/>
                    <w:spacing w:line="240" w:lineRule="atLeast"/>
                    <w:jc w:val="center"/>
                    <w:rPr>
                      <w:color w:val="auto"/>
                      <w:szCs w:val="21"/>
                    </w:rPr>
                  </w:pPr>
                  <w:r>
                    <w:rPr>
                      <w:color w:val="auto"/>
                      <w:szCs w:val="21"/>
                    </w:rPr>
                    <w:t>统计全厂各类固废量</w:t>
                  </w:r>
                </w:p>
              </w:tc>
              <w:tc>
                <w:tcPr>
                  <w:tcW w:w="2418" w:type="dxa"/>
                  <w:noWrap w:val="0"/>
                  <w:vAlign w:val="center"/>
                </w:tcPr>
                <w:p>
                  <w:pPr>
                    <w:adjustRightInd w:val="0"/>
                    <w:snapToGrid w:val="0"/>
                    <w:spacing w:line="240" w:lineRule="atLeast"/>
                    <w:jc w:val="center"/>
                    <w:rPr>
                      <w:color w:val="auto"/>
                      <w:szCs w:val="21"/>
                    </w:rPr>
                  </w:pPr>
                  <w:r>
                    <w:rPr>
                      <w:color w:val="auto"/>
                      <w:szCs w:val="21"/>
                    </w:rPr>
                    <w:t>统计种类、产生量、处理方式、去向</w:t>
                  </w:r>
                </w:p>
              </w:tc>
              <w:tc>
                <w:tcPr>
                  <w:tcW w:w="1447" w:type="dxa"/>
                  <w:noWrap w:val="0"/>
                  <w:vAlign w:val="center"/>
                </w:tcPr>
                <w:p>
                  <w:pPr>
                    <w:adjustRightInd w:val="0"/>
                    <w:snapToGrid w:val="0"/>
                    <w:spacing w:line="240" w:lineRule="atLeast"/>
                    <w:jc w:val="center"/>
                    <w:rPr>
                      <w:color w:val="auto"/>
                      <w:szCs w:val="21"/>
                    </w:rPr>
                  </w:pPr>
                  <w:r>
                    <w:rPr>
                      <w:color w:val="auto"/>
                      <w:szCs w:val="21"/>
                    </w:rPr>
                    <w:t>每月统计1次</w:t>
                  </w:r>
                </w:p>
              </w:tc>
            </w:tr>
          </w:tbl>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b/>
                <w:bCs/>
                <w:sz w:val="24"/>
                <w:szCs w:val="24"/>
              </w:rPr>
            </w:pPr>
            <w:r>
              <w:rPr>
                <w:rFonts w:hint="eastAsia" w:cs="Times New Roman"/>
                <w:b/>
                <w:bCs/>
                <w:sz w:val="24"/>
                <w:szCs w:val="24"/>
                <w:lang w:val="en-US" w:eastAsia="zh-CN"/>
              </w:rPr>
              <w:t>9</w:t>
            </w:r>
            <w:r>
              <w:rPr>
                <w:rFonts w:hint="default" w:ascii="Times New Roman" w:hAnsi="Times New Roman" w:cs="Times New Roman"/>
                <w:b/>
                <w:bCs/>
                <w:sz w:val="24"/>
                <w:szCs w:val="24"/>
                <w:lang w:val="en-US" w:eastAsia="zh-CN"/>
              </w:rPr>
              <w:t>、</w:t>
            </w:r>
            <w:r>
              <w:rPr>
                <w:rFonts w:hint="eastAsia" w:ascii="宋体" w:hAnsi="宋体"/>
                <w:b/>
                <w:bCs/>
                <w:sz w:val="24"/>
                <w:szCs w:val="24"/>
              </w:rPr>
              <w:t>环保竣工验收表</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sz w:val="24"/>
                <w:szCs w:val="24"/>
              </w:rPr>
            </w:pPr>
            <w:r>
              <w:rPr>
                <w:color w:val="auto"/>
                <w:sz w:val="24"/>
              </w:rPr>
              <w:t>环境保护</w:t>
            </w:r>
            <w:r>
              <w:rPr>
                <w:rFonts w:hint="eastAsia" w:asciiTheme="minorEastAsia" w:hAnsiTheme="minorEastAsia" w:eastAsiaTheme="minorEastAsia" w:cstheme="minorEastAsia"/>
                <w:color w:val="auto"/>
                <w:sz w:val="24"/>
              </w:rPr>
              <w:t>“三同时”</w:t>
            </w:r>
            <w:r>
              <w:rPr>
                <w:color w:val="auto"/>
                <w:sz w:val="24"/>
              </w:rPr>
              <w:t>验收一览表见</w:t>
            </w:r>
            <w:r>
              <w:rPr>
                <w:rFonts w:hint="eastAsia" w:ascii="宋体" w:hAnsi="宋体" w:cs="宋体"/>
                <w:sz w:val="24"/>
                <w:szCs w:val="24"/>
              </w:rPr>
              <w:t>表</w:t>
            </w:r>
            <w:r>
              <w:rPr>
                <w:rFonts w:hint="eastAsia" w:cs="Times New Roman"/>
                <w:sz w:val="24"/>
                <w:szCs w:val="24"/>
                <w:lang w:val="en-US" w:eastAsia="zh-CN"/>
              </w:rPr>
              <w:t>12</w:t>
            </w:r>
            <w:r>
              <w:rPr>
                <w:rFonts w:hint="eastAsia" w:ascii="宋体" w:hAnsi="宋体" w:cs="宋体"/>
                <w:sz w:val="24"/>
                <w:szCs w:val="24"/>
              </w:rPr>
              <w:t>。</w:t>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黑体" w:hAnsi="黑体" w:eastAsia="黑体" w:cs="宋体"/>
                <w:bCs/>
                <w:sz w:val="21"/>
                <w:szCs w:val="21"/>
              </w:rPr>
            </w:pPr>
            <w:r>
              <w:rPr>
                <w:rFonts w:eastAsia="黑体"/>
                <w:bCs/>
                <w:sz w:val="21"/>
                <w:szCs w:val="21"/>
              </w:rPr>
              <w:t>表</w:t>
            </w:r>
            <w:r>
              <w:rPr>
                <w:rFonts w:hint="eastAsia" w:eastAsia="黑体"/>
                <w:bCs/>
                <w:sz w:val="21"/>
                <w:szCs w:val="21"/>
                <w:lang w:val="en-US" w:eastAsia="zh-CN"/>
              </w:rPr>
              <w:t>12</w:t>
            </w:r>
            <w:r>
              <w:rPr>
                <w:rFonts w:hint="eastAsia" w:eastAsia="黑体"/>
                <w:bCs/>
                <w:sz w:val="21"/>
                <w:szCs w:val="21"/>
              </w:rPr>
              <w:t xml:space="preserve"> </w:t>
            </w:r>
            <w:r>
              <w:rPr>
                <w:rFonts w:hint="eastAsia" w:ascii="黑体" w:hAnsi="黑体" w:eastAsia="黑体" w:cs="宋体"/>
                <w:bCs/>
                <w:sz w:val="21"/>
                <w:szCs w:val="21"/>
              </w:rPr>
              <w:t xml:space="preserve"> 环境保护“三同时”验收一览表</w:t>
            </w:r>
          </w:p>
          <w:tbl>
            <w:tblPr>
              <w:tblStyle w:val="37"/>
              <w:tblW w:w="4998" w:type="pct"/>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autofit"/>
              <w:tblCellMar>
                <w:top w:w="0" w:type="dxa"/>
                <w:left w:w="0" w:type="dxa"/>
                <w:bottom w:w="0" w:type="dxa"/>
                <w:right w:w="0" w:type="dxa"/>
              </w:tblCellMar>
            </w:tblPr>
            <w:tblGrid>
              <w:gridCol w:w="508"/>
              <w:gridCol w:w="1474"/>
              <w:gridCol w:w="2542"/>
              <w:gridCol w:w="1350"/>
              <w:gridCol w:w="2823"/>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c>
                <w:tcPr>
                  <w:tcW w:w="292" w:type="pct"/>
                  <w:noWrap w:val="0"/>
                  <w:vAlign w:val="center"/>
                </w:tcPr>
                <w:p>
                  <w:pPr>
                    <w:pStyle w:val="131"/>
                    <w:adjustRightInd w:val="0"/>
                    <w:snapToGrid w:val="0"/>
                    <w:jc w:val="center"/>
                    <w:rPr>
                      <w:rFonts w:ascii="宋体" w:hAnsi="宋体" w:cs="宋体"/>
                      <w:sz w:val="21"/>
                      <w:szCs w:val="21"/>
                      <w:lang w:eastAsia="zh-CN"/>
                    </w:rPr>
                  </w:pPr>
                  <w:r>
                    <w:rPr>
                      <w:rFonts w:hint="eastAsia" w:ascii="宋体" w:hAnsi="宋体" w:cs="宋体"/>
                      <w:sz w:val="21"/>
                      <w:szCs w:val="21"/>
                      <w:lang w:val="en-US" w:eastAsia="zh-CN"/>
                    </w:rPr>
                    <w:t>环境</w:t>
                  </w:r>
                  <w:r>
                    <w:rPr>
                      <w:rFonts w:ascii="宋体" w:hAnsi="宋体" w:cs="宋体"/>
                      <w:sz w:val="21"/>
                      <w:szCs w:val="21"/>
                      <w:lang w:eastAsia="zh-CN"/>
                    </w:rPr>
                    <w:t>要素</w:t>
                  </w:r>
                </w:p>
              </w:tc>
              <w:tc>
                <w:tcPr>
                  <w:tcW w:w="847" w:type="pct"/>
                  <w:noWrap w:val="0"/>
                  <w:vAlign w:val="center"/>
                </w:tcPr>
                <w:p>
                  <w:pPr>
                    <w:pStyle w:val="131"/>
                    <w:adjustRightInd w:val="0"/>
                    <w:snapToGrid w:val="0"/>
                    <w:jc w:val="center"/>
                    <w:rPr>
                      <w:rFonts w:ascii="宋体" w:hAnsi="宋体" w:cs="宋体"/>
                      <w:sz w:val="21"/>
                      <w:szCs w:val="21"/>
                      <w:lang w:eastAsia="zh-CN"/>
                    </w:rPr>
                  </w:pPr>
                  <w:r>
                    <w:rPr>
                      <w:rFonts w:ascii="宋体" w:hAnsi="宋体" w:cs="宋体"/>
                      <w:sz w:val="21"/>
                      <w:szCs w:val="21"/>
                      <w:lang w:eastAsia="zh-CN"/>
                    </w:rPr>
                    <w:t>污染源</w:t>
                  </w:r>
                </w:p>
              </w:tc>
              <w:tc>
                <w:tcPr>
                  <w:tcW w:w="1461" w:type="pct"/>
                  <w:noWrap w:val="0"/>
                  <w:vAlign w:val="center"/>
                </w:tcPr>
                <w:p>
                  <w:pPr>
                    <w:pStyle w:val="131"/>
                    <w:adjustRightInd w:val="0"/>
                    <w:snapToGrid w:val="0"/>
                    <w:jc w:val="center"/>
                    <w:rPr>
                      <w:rFonts w:ascii="宋体" w:hAnsi="宋体" w:cs="宋体"/>
                      <w:sz w:val="21"/>
                      <w:szCs w:val="21"/>
                      <w:lang w:eastAsia="zh-CN"/>
                    </w:rPr>
                  </w:pPr>
                  <w:r>
                    <w:rPr>
                      <w:rFonts w:ascii="宋体" w:hAnsi="宋体" w:cs="宋体"/>
                      <w:sz w:val="21"/>
                      <w:szCs w:val="21"/>
                      <w:lang w:eastAsia="zh-CN"/>
                    </w:rPr>
                    <w:t>环保措施</w:t>
                  </w:r>
                </w:p>
              </w:tc>
              <w:tc>
                <w:tcPr>
                  <w:tcW w:w="776" w:type="pct"/>
                  <w:noWrap w:val="0"/>
                  <w:vAlign w:val="center"/>
                </w:tcPr>
                <w:p>
                  <w:pPr>
                    <w:pStyle w:val="131"/>
                    <w:adjustRightInd w:val="0"/>
                    <w:snapToGrid w:val="0"/>
                    <w:jc w:val="center"/>
                    <w:rPr>
                      <w:rFonts w:ascii="宋体" w:hAnsi="宋体" w:cs="宋体"/>
                      <w:sz w:val="21"/>
                      <w:szCs w:val="21"/>
                      <w:lang w:eastAsia="zh-CN"/>
                    </w:rPr>
                  </w:pPr>
                  <w:r>
                    <w:rPr>
                      <w:rFonts w:ascii="宋体" w:hAnsi="宋体" w:cs="宋体"/>
                      <w:sz w:val="21"/>
                      <w:szCs w:val="21"/>
                      <w:lang w:eastAsia="zh-CN"/>
                    </w:rPr>
                    <w:t>验收内容</w:t>
                  </w:r>
                </w:p>
              </w:tc>
              <w:tc>
                <w:tcPr>
                  <w:tcW w:w="1622" w:type="pct"/>
                  <w:noWrap w:val="0"/>
                  <w:vAlign w:val="center"/>
                </w:tcPr>
                <w:p>
                  <w:pPr>
                    <w:pStyle w:val="131"/>
                    <w:adjustRightInd w:val="0"/>
                    <w:snapToGrid w:val="0"/>
                    <w:jc w:val="center"/>
                    <w:rPr>
                      <w:rFonts w:ascii="宋体" w:hAnsi="宋体" w:cs="宋体"/>
                      <w:sz w:val="21"/>
                      <w:szCs w:val="21"/>
                      <w:lang w:eastAsia="zh-CN"/>
                    </w:rPr>
                  </w:pPr>
                  <w:r>
                    <w:rPr>
                      <w:rFonts w:ascii="宋体" w:hAnsi="宋体" w:cs="宋体"/>
                      <w:sz w:val="21"/>
                      <w:szCs w:val="21"/>
                      <w:lang w:eastAsia="zh-CN"/>
                    </w:rPr>
                    <w:t>验收标准</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c>
                <w:tcPr>
                  <w:tcW w:w="292" w:type="pct"/>
                  <w:vMerge w:val="restart"/>
                  <w:noWrap w:val="0"/>
                  <w:vAlign w:val="center"/>
                </w:tcPr>
                <w:p>
                  <w:pPr>
                    <w:pStyle w:val="131"/>
                    <w:adjustRightInd w:val="0"/>
                    <w:snapToGrid w:val="0"/>
                    <w:jc w:val="center"/>
                    <w:rPr>
                      <w:rFonts w:ascii="宋体" w:hAnsi="宋体" w:cs="宋体"/>
                      <w:sz w:val="21"/>
                      <w:szCs w:val="21"/>
                      <w:lang w:eastAsia="zh-CN"/>
                    </w:rPr>
                  </w:pPr>
                  <w:r>
                    <w:rPr>
                      <w:rFonts w:ascii="宋体" w:hAnsi="宋体" w:cs="宋体"/>
                      <w:sz w:val="21"/>
                      <w:szCs w:val="21"/>
                      <w:lang w:eastAsia="zh-CN"/>
                    </w:rPr>
                    <w:t>水环境</w:t>
                  </w:r>
                </w:p>
              </w:tc>
              <w:tc>
                <w:tcPr>
                  <w:tcW w:w="847" w:type="pct"/>
                  <w:noWrap w:val="0"/>
                  <w:vAlign w:val="center"/>
                </w:tcPr>
                <w:p>
                  <w:pPr>
                    <w:pStyle w:val="131"/>
                    <w:adjustRightInd w:val="0"/>
                    <w:snapToGrid w:val="0"/>
                    <w:jc w:val="center"/>
                    <w:rPr>
                      <w:rFonts w:hint="default" w:ascii="宋体" w:hAnsi="宋体" w:cs="宋体"/>
                      <w:sz w:val="21"/>
                      <w:szCs w:val="21"/>
                      <w:lang w:val="en-US" w:eastAsia="zh-CN"/>
                    </w:rPr>
                  </w:pPr>
                  <w:r>
                    <w:rPr>
                      <w:rFonts w:ascii="宋体" w:hAnsi="宋体" w:cs="宋体"/>
                      <w:sz w:val="21"/>
                      <w:szCs w:val="21"/>
                      <w:lang w:eastAsia="zh-CN"/>
                    </w:rPr>
                    <w:t>清洗</w:t>
                  </w:r>
                  <w:r>
                    <w:rPr>
                      <w:rFonts w:hint="eastAsia"/>
                      <w:color w:val="auto"/>
                      <w:szCs w:val="21"/>
                      <w:lang w:val="en-US" w:eastAsia="zh-CN"/>
                    </w:rPr>
                    <w:t>原料、设备、车间</w:t>
                  </w:r>
                  <w:r>
                    <w:rPr>
                      <w:rFonts w:ascii="宋体" w:hAnsi="宋体" w:cs="宋体"/>
                      <w:sz w:val="21"/>
                      <w:szCs w:val="21"/>
                      <w:lang w:eastAsia="zh-CN"/>
                    </w:rPr>
                    <w:t>废水</w:t>
                  </w:r>
                  <w:r>
                    <w:rPr>
                      <w:rFonts w:hint="eastAsia" w:ascii="宋体" w:hAnsi="宋体" w:cs="宋体"/>
                      <w:sz w:val="21"/>
                      <w:szCs w:val="21"/>
                      <w:lang w:val="en-US" w:eastAsia="zh-CN"/>
                    </w:rPr>
                    <w:t>及浓排水</w:t>
                  </w:r>
                </w:p>
              </w:tc>
              <w:tc>
                <w:tcPr>
                  <w:tcW w:w="1461" w:type="pct"/>
                  <w:noWrap w:val="0"/>
                  <w:vAlign w:val="center"/>
                </w:tcPr>
                <w:p>
                  <w:pPr>
                    <w:pStyle w:val="131"/>
                    <w:adjustRightInd w:val="0"/>
                    <w:snapToGrid w:val="0"/>
                    <w:jc w:val="both"/>
                    <w:rPr>
                      <w:rFonts w:ascii="宋体" w:hAnsi="宋体" w:cs="宋体"/>
                      <w:sz w:val="21"/>
                      <w:szCs w:val="21"/>
                      <w:lang w:eastAsia="zh-CN"/>
                    </w:rPr>
                  </w:pPr>
                  <w:r>
                    <w:rPr>
                      <w:rFonts w:hint="eastAsia" w:ascii="宋体" w:hAnsi="宋体" w:cs="宋体"/>
                      <w:spacing w:val="-2"/>
                      <w:sz w:val="21"/>
                      <w:szCs w:val="21"/>
                      <w:lang w:val="en-US" w:eastAsia="zh-CN"/>
                    </w:rPr>
                    <w:t>浓排水用于车间地面清洗，原料、设备、车间清洗废水经污水处理站处理后排入市政污水管网</w:t>
                  </w:r>
                  <w:r>
                    <w:rPr>
                      <w:rFonts w:ascii="宋体" w:hAnsi="宋体" w:cs="宋体"/>
                      <w:spacing w:val="-2"/>
                      <w:sz w:val="21"/>
                      <w:szCs w:val="21"/>
                      <w:lang w:eastAsia="zh-CN"/>
                    </w:rPr>
                    <w:t>。</w:t>
                  </w:r>
                </w:p>
              </w:tc>
              <w:tc>
                <w:tcPr>
                  <w:tcW w:w="776" w:type="pct"/>
                  <w:vMerge w:val="restart"/>
                  <w:noWrap w:val="0"/>
                  <w:vAlign w:val="center"/>
                </w:tcPr>
                <w:p>
                  <w:pPr>
                    <w:pStyle w:val="131"/>
                    <w:adjustRightInd w:val="0"/>
                    <w:snapToGrid w:val="0"/>
                    <w:jc w:val="center"/>
                    <w:rPr>
                      <w:rFonts w:ascii="Times New Roman" w:hAnsi="Times New Roman" w:eastAsia="Times New Roman"/>
                      <w:sz w:val="21"/>
                      <w:szCs w:val="21"/>
                    </w:rPr>
                  </w:pPr>
                  <w:r>
                    <w:rPr>
                      <w:rFonts w:hint="eastAsia" w:ascii="Times New Roman" w:hAnsi="Times New Roman" w:eastAsia="Times New Roman"/>
                      <w:sz w:val="21"/>
                      <w:szCs w:val="21"/>
                      <w:lang w:val="en-US" w:eastAsia="zh-CN"/>
                    </w:rPr>
                    <w:t>污水排放口规</w:t>
                  </w:r>
                  <w:r>
                    <w:rPr>
                      <w:rFonts w:hint="default" w:ascii="Times New Roman" w:hAnsi="Times New Roman" w:eastAsia="Times New Roman" w:cs="Times New Roman"/>
                      <w:sz w:val="21"/>
                      <w:szCs w:val="21"/>
                      <w:lang w:val="en-US" w:eastAsia="zh-CN"/>
                    </w:rPr>
                    <w:t>范化，C</w:t>
                  </w:r>
                  <w:r>
                    <w:rPr>
                      <w:rFonts w:hint="default" w:ascii="Times New Roman" w:hAnsi="Times New Roman" w:cs="Times New Roman"/>
                      <w:color w:val="auto"/>
                      <w:sz w:val="21"/>
                      <w:szCs w:val="21"/>
                    </w:rPr>
                    <w:t>OD</w:t>
                  </w:r>
                  <w:r>
                    <w:rPr>
                      <w:rFonts w:hint="default" w:ascii="Times New Roman" w:hAnsi="Times New Roman" w:cs="Times New Roman"/>
                      <w:color w:val="auto"/>
                      <w:sz w:val="21"/>
                      <w:szCs w:val="21"/>
                      <w:vertAlign w:val="subscript"/>
                    </w:rPr>
                    <w:t>Cr</w:t>
                  </w:r>
                  <w:r>
                    <w:rPr>
                      <w:rFonts w:hint="default" w:ascii="Times New Roman" w:hAnsi="Times New Roman" w:cs="Times New Roman"/>
                      <w:color w:val="auto"/>
                      <w:sz w:val="21"/>
                      <w:szCs w:val="21"/>
                    </w:rPr>
                    <w:t>、BOD</w:t>
                  </w:r>
                  <w:r>
                    <w:rPr>
                      <w:rFonts w:hint="default" w:ascii="Times New Roman" w:hAnsi="Times New Roman" w:cs="Times New Roman"/>
                      <w:color w:val="auto"/>
                      <w:sz w:val="21"/>
                      <w:szCs w:val="21"/>
                      <w:vertAlign w:val="subscript"/>
                    </w:rPr>
                    <w:t>5</w:t>
                  </w:r>
                  <w:r>
                    <w:rPr>
                      <w:rFonts w:hint="default" w:ascii="Times New Roman" w:hAnsi="Times New Roman" w:cs="Times New Roman"/>
                      <w:color w:val="auto"/>
                      <w:sz w:val="21"/>
                      <w:szCs w:val="21"/>
                    </w:rPr>
                    <w:t>、SS、氨氮</w:t>
                  </w:r>
                </w:p>
              </w:tc>
              <w:tc>
                <w:tcPr>
                  <w:tcW w:w="1622" w:type="pct"/>
                  <w:vMerge w:val="restart"/>
                  <w:noWrap w:val="0"/>
                  <w:vAlign w:val="center"/>
                </w:tcPr>
                <w:p>
                  <w:pPr>
                    <w:pStyle w:val="131"/>
                    <w:adjustRightInd w:val="0"/>
                    <w:snapToGrid w:val="0"/>
                    <w:jc w:val="both"/>
                    <w:rPr>
                      <w:rFonts w:ascii="Times New Roman" w:hAnsi="Times New Roman" w:eastAsia="Times New Roman"/>
                      <w:sz w:val="21"/>
                      <w:szCs w:val="21"/>
                      <w:lang w:eastAsia="zh-CN"/>
                    </w:rPr>
                  </w:pPr>
                  <w:r>
                    <w:rPr>
                      <w:rFonts w:hint="default" w:ascii="Times New Roman" w:hAnsi="Times New Roman" w:cs="Times New Roman"/>
                      <w:sz w:val="21"/>
                      <w:szCs w:val="21"/>
                      <w:lang w:val="en-US" w:eastAsia="zh-CN"/>
                    </w:rPr>
                    <w:t>执行《污水排入城镇下水道水质标准》（GB/T31962-2015）中B级标准</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03" w:hRule="atLeast"/>
              </w:trPr>
              <w:tc>
                <w:tcPr>
                  <w:tcW w:w="292" w:type="pct"/>
                  <w:vMerge w:val="continue"/>
                  <w:noWrap w:val="0"/>
                  <w:vAlign w:val="center"/>
                </w:tcPr>
                <w:p>
                  <w:pPr>
                    <w:adjustRightInd w:val="0"/>
                    <w:snapToGrid w:val="0"/>
                    <w:jc w:val="center"/>
                    <w:rPr>
                      <w:rFonts w:ascii="Calibri" w:hAnsi="Calibri"/>
                      <w:sz w:val="22"/>
                      <w:szCs w:val="22"/>
                    </w:rPr>
                  </w:pPr>
                </w:p>
              </w:tc>
              <w:tc>
                <w:tcPr>
                  <w:tcW w:w="847" w:type="pct"/>
                  <w:noWrap w:val="0"/>
                  <w:vAlign w:val="center"/>
                </w:tcPr>
                <w:p>
                  <w:pPr>
                    <w:pStyle w:val="131"/>
                    <w:adjustRightInd w:val="0"/>
                    <w:snapToGrid w:val="0"/>
                    <w:jc w:val="center"/>
                    <w:rPr>
                      <w:rFonts w:ascii="宋体" w:hAnsi="宋体" w:cs="宋体"/>
                      <w:sz w:val="21"/>
                      <w:szCs w:val="21"/>
                    </w:rPr>
                  </w:pPr>
                  <w:r>
                    <w:rPr>
                      <w:rFonts w:ascii="宋体" w:hAnsi="宋体" w:cs="宋体"/>
                      <w:sz w:val="21"/>
                      <w:szCs w:val="21"/>
                    </w:rPr>
                    <w:t>生活污水</w:t>
                  </w:r>
                </w:p>
              </w:tc>
              <w:tc>
                <w:tcPr>
                  <w:tcW w:w="1461" w:type="pct"/>
                  <w:noWrap w:val="0"/>
                  <w:vAlign w:val="center"/>
                </w:tcPr>
                <w:p>
                  <w:pPr>
                    <w:pStyle w:val="131"/>
                    <w:adjustRightInd w:val="0"/>
                    <w:snapToGrid w:val="0"/>
                    <w:jc w:val="both"/>
                    <w:rPr>
                      <w:rFonts w:hint="default" w:ascii="宋体" w:hAnsi="宋体" w:cs="宋体"/>
                      <w:sz w:val="21"/>
                      <w:szCs w:val="21"/>
                      <w:lang w:val="en-US" w:eastAsia="zh-CN"/>
                    </w:rPr>
                  </w:pPr>
                  <w:r>
                    <w:rPr>
                      <w:rFonts w:ascii="宋体" w:hAnsi="宋体" w:cs="宋体"/>
                      <w:spacing w:val="-2"/>
                      <w:sz w:val="21"/>
                      <w:szCs w:val="21"/>
                      <w:lang w:eastAsia="zh-CN"/>
                    </w:rPr>
                    <w:t>生活污水</w:t>
                  </w:r>
                  <w:r>
                    <w:rPr>
                      <w:rFonts w:hint="eastAsia" w:ascii="宋体" w:hAnsi="宋体" w:cs="宋体"/>
                      <w:spacing w:val="-2"/>
                      <w:sz w:val="21"/>
                      <w:szCs w:val="21"/>
                      <w:lang w:val="en-US" w:eastAsia="zh-CN"/>
                    </w:rPr>
                    <w:t>经</w:t>
                  </w:r>
                  <w:r>
                    <w:rPr>
                      <w:rFonts w:hint="eastAsia" w:ascii="宋体" w:hAnsi="宋体" w:cs="宋体"/>
                      <w:spacing w:val="-2"/>
                      <w:sz w:val="21"/>
                      <w:szCs w:val="21"/>
                      <w:lang w:eastAsia="zh-CN"/>
                    </w:rPr>
                    <w:t>化粪池</w:t>
                  </w:r>
                  <w:r>
                    <w:rPr>
                      <w:rFonts w:ascii="宋体" w:hAnsi="宋体" w:cs="宋体"/>
                      <w:spacing w:val="-2"/>
                      <w:sz w:val="21"/>
                      <w:szCs w:val="21"/>
                      <w:lang w:eastAsia="zh-CN"/>
                    </w:rPr>
                    <w:t>处理</w:t>
                  </w:r>
                  <w:r>
                    <w:rPr>
                      <w:rFonts w:hint="eastAsia" w:ascii="宋体" w:hAnsi="宋体" w:cs="宋体"/>
                      <w:spacing w:val="-2"/>
                      <w:sz w:val="21"/>
                      <w:szCs w:val="21"/>
                      <w:lang w:eastAsia="zh-CN"/>
                    </w:rPr>
                    <w:t>，</w:t>
                  </w:r>
                  <w:r>
                    <w:rPr>
                      <w:rFonts w:hint="eastAsia" w:ascii="宋体" w:hAnsi="宋体" w:cs="宋体"/>
                      <w:spacing w:val="-2"/>
                      <w:sz w:val="21"/>
                      <w:szCs w:val="21"/>
                      <w:lang w:val="en-US" w:eastAsia="zh-CN"/>
                    </w:rPr>
                    <w:t>排入市政污水管网</w:t>
                  </w:r>
                </w:p>
              </w:tc>
              <w:tc>
                <w:tcPr>
                  <w:tcW w:w="776" w:type="pct"/>
                  <w:vMerge w:val="continue"/>
                  <w:noWrap w:val="0"/>
                  <w:vAlign w:val="center"/>
                </w:tcPr>
                <w:p>
                  <w:pPr>
                    <w:pStyle w:val="131"/>
                    <w:adjustRightInd w:val="0"/>
                    <w:snapToGrid w:val="0"/>
                    <w:jc w:val="center"/>
                    <w:rPr>
                      <w:rFonts w:ascii="Times New Roman" w:hAnsi="Times New Roman" w:eastAsia="Times New Roman"/>
                      <w:sz w:val="21"/>
                      <w:szCs w:val="21"/>
                    </w:rPr>
                  </w:pPr>
                </w:p>
              </w:tc>
              <w:tc>
                <w:tcPr>
                  <w:tcW w:w="1622" w:type="pct"/>
                  <w:vMerge w:val="continue"/>
                  <w:noWrap w:val="0"/>
                  <w:vAlign w:val="center"/>
                </w:tcPr>
                <w:p>
                  <w:pPr>
                    <w:pStyle w:val="131"/>
                    <w:adjustRightInd w:val="0"/>
                    <w:snapToGrid w:val="0"/>
                    <w:jc w:val="center"/>
                    <w:rPr>
                      <w:rFonts w:ascii="Times New Roman" w:hAnsi="Times New Roman" w:eastAsia="Times New Roman"/>
                      <w:sz w:val="21"/>
                      <w:szCs w:val="21"/>
                      <w:lang w:eastAsia="zh-CN"/>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886" w:hRule="atLeast"/>
              </w:trPr>
              <w:tc>
                <w:tcPr>
                  <w:tcW w:w="292" w:type="pct"/>
                  <w:noWrap w:val="0"/>
                  <w:vAlign w:val="center"/>
                </w:tcPr>
                <w:p>
                  <w:pPr>
                    <w:pStyle w:val="131"/>
                    <w:adjustRightInd w:val="0"/>
                    <w:snapToGrid w:val="0"/>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大气环境</w:t>
                  </w:r>
                </w:p>
              </w:tc>
              <w:tc>
                <w:tcPr>
                  <w:tcW w:w="847" w:type="pct"/>
                  <w:noWrap w:val="0"/>
                  <w:vAlign w:val="center"/>
                </w:tcPr>
                <w:p>
                  <w:pPr>
                    <w:pStyle w:val="131"/>
                    <w:adjustRightInd w:val="0"/>
                    <w:snapToGrid w:val="0"/>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提取、冷却、污水处理站</w:t>
                  </w:r>
                </w:p>
              </w:tc>
              <w:tc>
                <w:tcPr>
                  <w:tcW w:w="1461" w:type="pct"/>
                  <w:noWrap w:val="0"/>
                  <w:vAlign w:val="center"/>
                </w:tcPr>
                <w:p>
                  <w:pPr>
                    <w:pStyle w:val="131"/>
                    <w:adjustRightInd w:val="0"/>
                    <w:snapToGrid w:val="0"/>
                    <w:jc w:val="both"/>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真空干燥机采用冷凝方式回收提取物；产生异味气体的污水池加盖封闭</w:t>
                  </w:r>
                </w:p>
              </w:tc>
              <w:tc>
                <w:tcPr>
                  <w:tcW w:w="776" w:type="pct"/>
                  <w:noWrap w:val="0"/>
                  <w:vAlign w:val="center"/>
                </w:tcPr>
                <w:p>
                  <w:pPr>
                    <w:pStyle w:val="131"/>
                    <w:adjustRightInd w:val="0"/>
                    <w:snapToGrid w:val="0"/>
                    <w:jc w:val="center"/>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厂界</w:t>
                  </w:r>
                  <w:r>
                    <w:rPr>
                      <w:rFonts w:hint="default" w:ascii="Times New Roman" w:hAnsi="Times New Roman" w:cs="Times New Roman"/>
                      <w:color w:val="auto"/>
                      <w:sz w:val="21"/>
                      <w:szCs w:val="21"/>
                      <w:lang w:val="en-US" w:eastAsia="zh-CN"/>
                    </w:rPr>
                    <w:t>H</w:t>
                  </w:r>
                  <w:r>
                    <w:rPr>
                      <w:rFonts w:hint="default" w:ascii="Times New Roman" w:hAnsi="Times New Roman" w:cs="Times New Roman"/>
                      <w:color w:val="auto"/>
                      <w:sz w:val="21"/>
                      <w:szCs w:val="21"/>
                      <w:vertAlign w:val="subscript"/>
                      <w:lang w:val="en-US" w:eastAsia="zh-CN"/>
                    </w:rPr>
                    <w:t>2</w:t>
                  </w:r>
                  <w:r>
                    <w:rPr>
                      <w:rFonts w:hint="default" w:ascii="Times New Roman" w:hAnsi="Times New Roman" w:cs="Times New Roman"/>
                      <w:color w:val="auto"/>
                      <w:sz w:val="21"/>
                      <w:szCs w:val="21"/>
                      <w:lang w:val="en-US" w:eastAsia="zh-CN"/>
                    </w:rPr>
                    <w:t>S、NH</w:t>
                  </w:r>
                  <w:r>
                    <w:rPr>
                      <w:rFonts w:hint="default" w:ascii="Times New Roman" w:hAnsi="Times New Roman" w:cs="Times New Roman"/>
                      <w:color w:val="auto"/>
                      <w:sz w:val="21"/>
                      <w:szCs w:val="21"/>
                      <w:vertAlign w:val="subscript"/>
                      <w:lang w:val="en-US" w:eastAsia="zh-CN"/>
                    </w:rPr>
                    <w:t>3</w:t>
                  </w:r>
                  <w:r>
                    <w:rPr>
                      <w:rFonts w:hint="default" w:ascii="Times New Roman" w:hAnsi="Times New Roman" w:cs="Times New Roman"/>
                      <w:color w:val="auto"/>
                      <w:sz w:val="21"/>
                      <w:szCs w:val="21"/>
                      <w:lang w:val="en-US" w:eastAsia="zh-CN"/>
                    </w:rPr>
                    <w:t>、</w:t>
                  </w:r>
                  <w:r>
                    <w:rPr>
                      <w:rFonts w:hint="eastAsia" w:ascii="Times New Roman" w:hAnsi="Times New Roman" w:cs="Times New Roman"/>
                      <w:sz w:val="21"/>
                      <w:szCs w:val="21"/>
                      <w:lang w:val="en-US" w:eastAsia="zh-CN"/>
                    </w:rPr>
                    <w:t>臭气浓度</w:t>
                  </w:r>
                </w:p>
              </w:tc>
              <w:tc>
                <w:tcPr>
                  <w:tcW w:w="1622"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厂界臭气浓度执行《恶臭污染物排放标准》（GB14554-93）表1二级标准要求</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66" w:hRule="atLeast"/>
              </w:trPr>
              <w:tc>
                <w:tcPr>
                  <w:tcW w:w="292" w:type="pct"/>
                  <w:noWrap w:val="0"/>
                  <w:vAlign w:val="center"/>
                </w:tcPr>
                <w:p>
                  <w:pPr>
                    <w:adjustRightInd w:val="0"/>
                    <w:snapToGrid w:val="0"/>
                    <w:jc w:val="center"/>
                    <w:rPr>
                      <w:rFonts w:ascii="Calibri" w:hAnsi="Calibri"/>
                      <w:sz w:val="22"/>
                      <w:szCs w:val="22"/>
                    </w:rPr>
                  </w:pPr>
                  <w:r>
                    <w:rPr>
                      <w:rFonts w:hint="eastAsia" w:ascii="Calibri" w:hAnsi="Calibri"/>
                      <w:sz w:val="22"/>
                      <w:szCs w:val="22"/>
                    </w:rPr>
                    <w:t>噪声</w:t>
                  </w:r>
                </w:p>
              </w:tc>
              <w:tc>
                <w:tcPr>
                  <w:tcW w:w="847" w:type="pct"/>
                  <w:noWrap w:val="0"/>
                  <w:vAlign w:val="center"/>
                </w:tcPr>
                <w:p>
                  <w:pPr>
                    <w:pStyle w:val="131"/>
                    <w:adjustRightInd w:val="0"/>
                    <w:snapToGrid w:val="0"/>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生产设备、泵类</w:t>
                  </w:r>
                </w:p>
              </w:tc>
              <w:tc>
                <w:tcPr>
                  <w:tcW w:w="1461" w:type="pct"/>
                  <w:noWrap w:val="0"/>
                  <w:vAlign w:val="center"/>
                </w:tcPr>
                <w:p>
                  <w:pPr>
                    <w:pStyle w:val="131"/>
                    <w:adjustRightInd w:val="0"/>
                    <w:snapToGrid w:val="0"/>
                    <w:jc w:val="center"/>
                    <w:rPr>
                      <w:rFonts w:ascii="宋体" w:hAnsi="宋体" w:cs="宋体"/>
                      <w:spacing w:val="2"/>
                      <w:sz w:val="21"/>
                      <w:szCs w:val="21"/>
                      <w:lang w:eastAsia="zh-CN"/>
                    </w:rPr>
                  </w:pPr>
                  <w:r>
                    <w:rPr>
                      <w:rFonts w:hint="eastAsia" w:ascii="宋体" w:hAnsi="宋体" w:cs="宋体"/>
                      <w:spacing w:val="2"/>
                      <w:sz w:val="21"/>
                      <w:szCs w:val="21"/>
                      <w:lang w:val="en-US" w:eastAsia="zh-CN"/>
                    </w:rPr>
                    <w:t>室内运行，</w:t>
                  </w:r>
                  <w:r>
                    <w:rPr>
                      <w:rFonts w:hint="eastAsia" w:ascii="宋体" w:hAnsi="宋体" w:cs="宋体"/>
                      <w:sz w:val="21"/>
                      <w:szCs w:val="21"/>
                      <w:lang w:val="en-US" w:eastAsia="zh-CN"/>
                    </w:rPr>
                    <w:t>隔声、</w:t>
                  </w:r>
                  <w:r>
                    <w:rPr>
                      <w:rFonts w:hint="default" w:ascii="宋体" w:hAnsi="宋体" w:cs="宋体"/>
                      <w:sz w:val="21"/>
                      <w:szCs w:val="21"/>
                      <w:lang w:val="en-US" w:eastAsia="zh-CN"/>
                    </w:rPr>
                    <w:t>减震措施</w:t>
                  </w:r>
                </w:p>
              </w:tc>
              <w:tc>
                <w:tcPr>
                  <w:tcW w:w="776" w:type="pct"/>
                  <w:noWrap w:val="0"/>
                  <w:vAlign w:val="center"/>
                </w:tcPr>
                <w:p>
                  <w:pPr>
                    <w:pStyle w:val="131"/>
                    <w:adjustRightInd w:val="0"/>
                    <w:snapToGrid w:val="0"/>
                    <w:jc w:val="center"/>
                    <w:rPr>
                      <w:rFonts w:ascii="宋体" w:hAnsi="宋体" w:cs="宋体"/>
                      <w:sz w:val="21"/>
                      <w:szCs w:val="21"/>
                      <w:lang w:eastAsia="zh-CN"/>
                    </w:rPr>
                  </w:pPr>
                  <w:r>
                    <w:rPr>
                      <w:rFonts w:hint="eastAsia" w:ascii="宋体" w:hAnsi="宋体" w:cs="宋体"/>
                      <w:sz w:val="21"/>
                      <w:szCs w:val="21"/>
                      <w:lang w:eastAsia="zh-CN"/>
                    </w:rPr>
                    <w:t>厂界噪声</w:t>
                  </w:r>
                </w:p>
              </w:tc>
              <w:tc>
                <w:tcPr>
                  <w:tcW w:w="1622" w:type="pct"/>
                  <w:noWrap w:val="0"/>
                  <w:vAlign w:val="center"/>
                </w:tcPr>
                <w:p>
                  <w:pPr>
                    <w:pStyle w:val="131"/>
                    <w:adjustRightInd w:val="0"/>
                    <w:snapToGrid w:val="0"/>
                    <w:jc w:val="both"/>
                    <w:rPr>
                      <w:rFonts w:ascii="宋体" w:hAnsi="宋体" w:cs="宋体"/>
                      <w:spacing w:val="-2"/>
                      <w:sz w:val="21"/>
                      <w:szCs w:val="21"/>
                      <w:lang w:eastAsia="zh-CN"/>
                    </w:rPr>
                  </w:pPr>
                  <w:r>
                    <w:rPr>
                      <w:rFonts w:hint="eastAsia" w:ascii="宋体" w:hAnsi="宋体" w:cs="宋体"/>
                      <w:spacing w:val="-2"/>
                      <w:sz w:val="21"/>
                      <w:szCs w:val="21"/>
                      <w:lang w:eastAsia="zh-CN"/>
                    </w:rPr>
                    <w:t>《工业企业厂界噪声排放标准》</w:t>
                  </w:r>
                  <w:r>
                    <w:rPr>
                      <w:color w:val="auto"/>
                      <w:szCs w:val="21"/>
                    </w:rPr>
                    <w:t>（</w:t>
                  </w:r>
                  <w:r>
                    <w:rPr>
                      <w:rFonts w:hint="default" w:ascii="Times New Roman" w:hAnsi="Times New Roman" w:cs="Times New Roman"/>
                      <w:color w:val="auto"/>
                      <w:szCs w:val="21"/>
                    </w:rPr>
                    <w:t>GB12348-2008）</w:t>
                  </w:r>
                  <w:r>
                    <w:rPr>
                      <w:rFonts w:hint="default" w:ascii="Times New Roman" w:hAnsi="Times New Roman" w:cs="Times New Roman"/>
                      <w:spacing w:val="-2"/>
                      <w:sz w:val="21"/>
                      <w:szCs w:val="21"/>
                      <w:lang w:eastAsia="zh-CN"/>
                    </w:rPr>
                    <w:t>中</w:t>
                  </w:r>
                  <w:r>
                    <w:rPr>
                      <w:rFonts w:hint="eastAsia" w:ascii="Times New Roman" w:hAnsi="Times New Roman" w:cs="Times New Roman"/>
                      <w:spacing w:val="-2"/>
                      <w:sz w:val="21"/>
                      <w:szCs w:val="21"/>
                      <w:lang w:val="en-US" w:eastAsia="zh-CN"/>
                    </w:rPr>
                    <w:t>3</w:t>
                  </w:r>
                  <w:r>
                    <w:rPr>
                      <w:rFonts w:hint="default" w:ascii="Times New Roman" w:hAnsi="Times New Roman" w:cs="Times New Roman"/>
                      <w:spacing w:val="-2"/>
                      <w:sz w:val="21"/>
                      <w:szCs w:val="21"/>
                      <w:lang w:eastAsia="zh-CN"/>
                    </w:rPr>
                    <w:t>类标准</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292" w:type="pct"/>
                  <w:vMerge w:val="restart"/>
                  <w:noWrap w:val="0"/>
                  <w:vAlign w:val="center"/>
                </w:tcPr>
                <w:p>
                  <w:pPr>
                    <w:adjustRightInd w:val="0"/>
                    <w:snapToGrid w:val="0"/>
                    <w:jc w:val="center"/>
                    <w:rPr>
                      <w:rFonts w:hint="eastAsia" w:ascii="Calibri" w:hAnsi="Calibri"/>
                      <w:sz w:val="22"/>
                      <w:szCs w:val="22"/>
                    </w:rPr>
                  </w:pPr>
                  <w:r>
                    <w:rPr>
                      <w:rFonts w:hint="eastAsia" w:ascii="Calibri" w:hAnsi="Calibri"/>
                      <w:sz w:val="22"/>
                      <w:szCs w:val="22"/>
                    </w:rPr>
                    <w:t>固废</w:t>
                  </w:r>
                </w:p>
              </w:tc>
              <w:tc>
                <w:tcPr>
                  <w:tcW w:w="847" w:type="pct"/>
                  <w:noWrap w:val="0"/>
                  <w:vAlign w:val="center"/>
                </w:tcPr>
                <w:p>
                  <w:pPr>
                    <w:pStyle w:val="131"/>
                    <w:adjustRightInd w:val="0"/>
                    <w:snapToGrid w:val="0"/>
                    <w:jc w:val="center"/>
                    <w:rPr>
                      <w:rFonts w:hint="default" w:ascii="宋体" w:hAnsi="宋体" w:cs="宋体"/>
                      <w:sz w:val="21"/>
                      <w:szCs w:val="21"/>
                      <w:lang w:val="en-US" w:eastAsia="zh-CN"/>
                    </w:rPr>
                  </w:pPr>
                  <w:r>
                    <w:rPr>
                      <w:rFonts w:hint="eastAsia" w:ascii="宋体" w:hAnsi="宋体" w:cs="宋体"/>
                      <w:sz w:val="21"/>
                      <w:szCs w:val="21"/>
                      <w:lang w:val="en-US" w:eastAsia="zh-CN"/>
                    </w:rPr>
                    <w:t>植物残渣</w:t>
                  </w:r>
                </w:p>
              </w:tc>
              <w:tc>
                <w:tcPr>
                  <w:tcW w:w="1461" w:type="pct"/>
                  <w:noWrap w:val="0"/>
                  <w:vAlign w:val="center"/>
                </w:tcPr>
                <w:p>
                  <w:pPr>
                    <w:pStyle w:val="131"/>
                    <w:adjustRightInd w:val="0"/>
                    <w:snapToGrid w:val="0"/>
                    <w:jc w:val="center"/>
                    <w:rPr>
                      <w:rFonts w:hint="default" w:ascii="宋体" w:hAnsi="宋体" w:cs="宋体"/>
                      <w:spacing w:val="2"/>
                      <w:sz w:val="21"/>
                      <w:szCs w:val="21"/>
                      <w:lang w:val="en-US" w:eastAsia="zh-CN"/>
                    </w:rPr>
                  </w:pPr>
                  <w:r>
                    <w:rPr>
                      <w:rFonts w:hint="eastAsia" w:ascii="宋体" w:hAnsi="宋体" w:cs="宋体"/>
                      <w:spacing w:val="2"/>
                      <w:sz w:val="21"/>
                      <w:szCs w:val="21"/>
                      <w:lang w:val="en-US" w:eastAsia="zh-CN"/>
                    </w:rPr>
                    <w:t>暂存于固废暂存间，由相关食品单位回收利用</w:t>
                  </w:r>
                </w:p>
              </w:tc>
              <w:tc>
                <w:tcPr>
                  <w:tcW w:w="776" w:type="pct"/>
                  <w:noWrap w:val="0"/>
                  <w:vAlign w:val="center"/>
                </w:tcPr>
                <w:p>
                  <w:pPr>
                    <w:pStyle w:val="131"/>
                    <w:adjustRightInd w:val="0"/>
                    <w:snapToGrid w:val="0"/>
                    <w:jc w:val="center"/>
                    <w:rPr>
                      <w:rFonts w:hint="eastAsia" w:ascii="宋体" w:hAnsi="宋体" w:cs="宋体"/>
                      <w:sz w:val="21"/>
                      <w:szCs w:val="21"/>
                      <w:lang w:eastAsia="zh-CN"/>
                    </w:rPr>
                  </w:pPr>
                  <w:r>
                    <w:rPr>
                      <w:color w:val="auto"/>
                      <w:szCs w:val="21"/>
                    </w:rPr>
                    <w:t>检查固废储存、处置方式</w:t>
                  </w:r>
                </w:p>
              </w:tc>
              <w:tc>
                <w:tcPr>
                  <w:tcW w:w="1622" w:type="pct"/>
                  <w:noWrap w:val="0"/>
                  <w:vAlign w:val="center"/>
                </w:tcPr>
                <w:p>
                  <w:pPr>
                    <w:pStyle w:val="131"/>
                    <w:adjustRightInd w:val="0"/>
                    <w:snapToGrid w:val="0"/>
                    <w:jc w:val="both"/>
                    <w:rPr>
                      <w:rFonts w:hint="eastAsia" w:ascii="宋体" w:hAnsi="宋体" w:cs="宋体"/>
                      <w:spacing w:val="-2"/>
                      <w:sz w:val="21"/>
                      <w:szCs w:val="21"/>
                      <w:lang w:eastAsia="zh-CN"/>
                    </w:rPr>
                  </w:pPr>
                  <w:r>
                    <w:rPr>
                      <w:rFonts w:hint="eastAsia" w:ascii="宋体" w:hAnsi="宋体" w:cs="宋体"/>
                      <w:spacing w:val="-2"/>
                      <w:sz w:val="21"/>
                      <w:szCs w:val="21"/>
                      <w:lang w:val="en-US" w:eastAsia="zh-CN"/>
                    </w:rPr>
                    <w:t>《一般工业固体废物贮存、处理</w:t>
                  </w:r>
                  <w:r>
                    <w:rPr>
                      <w:rFonts w:hint="default" w:ascii="Times New Roman" w:hAnsi="Times New Roman" w:cs="Times New Roman"/>
                      <w:spacing w:val="-2"/>
                      <w:sz w:val="21"/>
                      <w:szCs w:val="21"/>
                      <w:lang w:val="en-US" w:eastAsia="zh-CN"/>
                    </w:rPr>
                    <w:t>场污染控制标准》（GB18599-2001）及其修改单要求</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c>
                <w:tcPr>
                  <w:tcW w:w="292" w:type="pct"/>
                  <w:vMerge w:val="continue"/>
                  <w:noWrap w:val="0"/>
                  <w:vAlign w:val="center"/>
                </w:tcPr>
                <w:p>
                  <w:pPr>
                    <w:adjustRightInd w:val="0"/>
                    <w:snapToGrid w:val="0"/>
                    <w:jc w:val="center"/>
                    <w:rPr>
                      <w:rFonts w:hint="eastAsia" w:ascii="Calibri" w:hAnsi="Calibri"/>
                      <w:sz w:val="22"/>
                      <w:szCs w:val="22"/>
                    </w:rPr>
                  </w:pPr>
                </w:p>
              </w:tc>
              <w:tc>
                <w:tcPr>
                  <w:tcW w:w="847" w:type="pct"/>
                  <w:noWrap w:val="0"/>
                  <w:vAlign w:val="center"/>
                </w:tcPr>
                <w:p>
                  <w:pPr>
                    <w:pStyle w:val="131"/>
                    <w:adjustRightInd w:val="0"/>
                    <w:snapToGrid w:val="0"/>
                    <w:jc w:val="center"/>
                    <w:rPr>
                      <w:rFonts w:hint="eastAsia" w:ascii="宋体" w:hAnsi="宋体" w:cs="宋体"/>
                      <w:sz w:val="21"/>
                      <w:szCs w:val="21"/>
                      <w:lang w:eastAsia="zh-CN"/>
                    </w:rPr>
                  </w:pPr>
                  <w:r>
                    <w:rPr>
                      <w:rFonts w:hint="eastAsia" w:ascii="宋体" w:hAnsi="宋体" w:cs="宋体"/>
                      <w:sz w:val="21"/>
                      <w:szCs w:val="21"/>
                      <w:lang w:val="en-US" w:eastAsia="zh-CN"/>
                    </w:rPr>
                    <w:t>不合格原料、污泥、</w:t>
                  </w:r>
                  <w:r>
                    <w:rPr>
                      <w:rFonts w:hint="eastAsia" w:ascii="宋体" w:hAnsi="宋体" w:cs="宋体"/>
                      <w:sz w:val="21"/>
                      <w:szCs w:val="21"/>
                    </w:rPr>
                    <w:t>生活垃圾</w:t>
                  </w:r>
                </w:p>
              </w:tc>
              <w:tc>
                <w:tcPr>
                  <w:tcW w:w="1461" w:type="pct"/>
                  <w:noWrap w:val="0"/>
                  <w:vAlign w:val="center"/>
                </w:tcPr>
                <w:p>
                  <w:pPr>
                    <w:pStyle w:val="131"/>
                    <w:adjustRightInd w:val="0"/>
                    <w:snapToGrid w:val="0"/>
                    <w:jc w:val="center"/>
                    <w:rPr>
                      <w:rFonts w:hint="default" w:ascii="宋体" w:hAnsi="宋体" w:cs="宋体"/>
                      <w:spacing w:val="2"/>
                      <w:sz w:val="21"/>
                      <w:szCs w:val="21"/>
                      <w:lang w:val="en-US" w:eastAsia="zh-CN"/>
                    </w:rPr>
                  </w:pPr>
                  <w:r>
                    <w:rPr>
                      <w:rFonts w:hint="eastAsia" w:ascii="宋体" w:hAnsi="宋体" w:cs="宋体"/>
                      <w:spacing w:val="2"/>
                      <w:sz w:val="21"/>
                      <w:szCs w:val="21"/>
                      <w:lang w:val="en-US" w:eastAsia="zh-CN"/>
                    </w:rPr>
                    <w:t>集中收集存放至垃圾桶</w:t>
                  </w:r>
                </w:p>
              </w:tc>
              <w:tc>
                <w:tcPr>
                  <w:tcW w:w="776" w:type="pct"/>
                  <w:noWrap w:val="0"/>
                  <w:vAlign w:val="center"/>
                </w:tcPr>
                <w:p>
                  <w:pPr>
                    <w:pStyle w:val="131"/>
                    <w:adjustRightInd w:val="0"/>
                    <w:snapToGrid w:val="0"/>
                    <w:jc w:val="center"/>
                    <w:rPr>
                      <w:rFonts w:hint="default" w:ascii="宋体" w:hAnsi="宋体" w:cs="宋体"/>
                      <w:sz w:val="21"/>
                      <w:szCs w:val="21"/>
                      <w:lang w:val="en-US" w:eastAsia="zh-CN"/>
                    </w:rPr>
                  </w:pPr>
                  <w:r>
                    <w:rPr>
                      <w:rFonts w:hint="eastAsia" w:ascii="宋体" w:hAnsi="宋体" w:cs="宋体"/>
                      <w:sz w:val="21"/>
                      <w:szCs w:val="21"/>
                      <w:lang w:val="en-US" w:eastAsia="zh-CN"/>
                    </w:rPr>
                    <w:t>由城市环卫部门定期清运</w:t>
                  </w:r>
                </w:p>
              </w:tc>
              <w:tc>
                <w:tcPr>
                  <w:tcW w:w="1622" w:type="pct"/>
                  <w:noWrap w:val="0"/>
                  <w:vAlign w:val="center"/>
                </w:tcPr>
                <w:p>
                  <w:pPr>
                    <w:pStyle w:val="131"/>
                    <w:adjustRightInd w:val="0"/>
                    <w:snapToGrid w:val="0"/>
                    <w:jc w:val="center"/>
                    <w:rPr>
                      <w:rFonts w:hint="default" w:ascii="宋体" w:hAnsi="宋体" w:cs="宋体"/>
                      <w:b/>
                      <w:bCs/>
                      <w:spacing w:val="-2"/>
                      <w:sz w:val="21"/>
                      <w:szCs w:val="21"/>
                      <w:lang w:val="en-US" w:eastAsia="zh-CN"/>
                    </w:rPr>
                  </w:pPr>
                  <w:r>
                    <w:rPr>
                      <w:rFonts w:hint="eastAsia" w:ascii="Times New Roman" w:hAnsi="Times New Roman" w:cs="Times New Roman"/>
                      <w:spacing w:val="-2"/>
                      <w:sz w:val="21"/>
                      <w:szCs w:val="21"/>
                      <w:lang w:val="en-US" w:eastAsia="zh-CN"/>
                    </w:rPr>
                    <w:t>妥善处置，不产生二次污染</w:t>
                  </w:r>
                </w:p>
              </w:tc>
            </w:tr>
          </w:tbl>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rPr>
            </w:pPr>
            <w:r>
              <w:rPr>
                <w:rFonts w:hint="eastAsia" w:cs="Times New Roman"/>
                <w:b w:val="0"/>
                <w:bCs/>
                <w:sz w:val="24"/>
                <w:szCs w:val="24"/>
                <w:lang w:val="en-US" w:eastAsia="zh-CN"/>
              </w:rPr>
              <w:t>10</w:t>
            </w:r>
            <w:r>
              <w:rPr>
                <w:rFonts w:hint="default" w:ascii="Times New Roman" w:hAnsi="Times New Roman" w:cs="Times New Roman"/>
                <w:b w:val="0"/>
                <w:bCs/>
                <w:sz w:val="24"/>
                <w:szCs w:val="24"/>
                <w:lang w:val="en-US" w:eastAsia="zh-CN"/>
              </w:rPr>
              <w:t>、</w:t>
            </w:r>
            <w:r>
              <w:rPr>
                <w:rFonts w:eastAsia="黑体"/>
                <w:color w:val="auto"/>
                <w:sz w:val="24"/>
              </w:rPr>
              <w:t>污染物排放清单及环境管理要求</w:t>
            </w:r>
          </w:p>
        </w:tc>
      </w:tr>
    </w:tbl>
    <w:p>
      <w:pPr>
        <w:spacing w:line="360" w:lineRule="auto"/>
        <w:outlineLvl w:val="0"/>
        <w:rPr>
          <w:rFonts w:hint="eastAsia" w:ascii="黑体" w:hAnsi="宋体" w:eastAsia="黑体"/>
          <w:b/>
          <w:bCs/>
          <w:sz w:val="32"/>
          <w:szCs w:val="32"/>
        </w:rPr>
        <w:sectPr>
          <w:footerReference r:id="rId4" w:type="default"/>
          <w:pgSz w:w="11906" w:h="16838"/>
          <w:pgMar w:top="1701" w:right="1588" w:bottom="1985" w:left="1588" w:header="851" w:footer="1134" w:gutter="0"/>
          <w:pgBorders w:offsetFrom="page">
            <w:top w:val="none" w:sz="0" w:space="0"/>
            <w:left w:val="none" w:sz="0" w:space="0"/>
            <w:bottom w:val="none" w:sz="0" w:space="0"/>
            <w:right w:val="none" w:sz="0" w:space="0"/>
          </w:pgBorders>
          <w:pgNumType w:fmt="decimal" w:start="1"/>
          <w:cols w:space="720" w:num="1"/>
          <w:docGrid w:type="lines" w:linePitch="312" w:charSpace="0"/>
        </w:sectPr>
      </w:pPr>
    </w:p>
    <w:tbl>
      <w:tblPr>
        <w:tblStyle w:val="3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68" w:type="dxa"/>
          </w:tcPr>
          <w:p>
            <w:pPr>
              <w:adjustRightInd w:val="0"/>
              <w:snapToGrid w:val="0"/>
              <w:spacing w:line="360" w:lineRule="auto"/>
              <w:ind w:firstLine="480" w:firstLineChars="200"/>
              <w:jc w:val="left"/>
              <w:rPr>
                <w:bCs/>
                <w:color w:val="auto"/>
                <w:sz w:val="24"/>
              </w:rPr>
            </w:pPr>
            <w:r>
              <w:rPr>
                <w:bCs/>
                <w:color w:val="auto"/>
                <w:sz w:val="24"/>
              </w:rPr>
              <w:t>污染物排放清单及环境管理要求详见表</w:t>
            </w:r>
            <w:r>
              <w:rPr>
                <w:rFonts w:hint="eastAsia"/>
                <w:bCs/>
                <w:color w:val="auto"/>
                <w:sz w:val="24"/>
                <w:lang w:val="en-US" w:eastAsia="zh-CN"/>
              </w:rPr>
              <w:t>13</w:t>
            </w:r>
            <w:r>
              <w:rPr>
                <w:bCs/>
                <w:color w:val="auto"/>
                <w:sz w:val="24"/>
              </w:rPr>
              <w:t>。</w:t>
            </w:r>
          </w:p>
          <w:p>
            <w:pPr>
              <w:adjustRightInd w:val="0"/>
              <w:snapToGrid w:val="0"/>
              <w:spacing w:line="360" w:lineRule="auto"/>
              <w:jc w:val="center"/>
              <w:rPr>
                <w:rFonts w:eastAsia="黑体"/>
                <w:b/>
                <w:color w:val="auto"/>
                <w:szCs w:val="21"/>
              </w:rPr>
            </w:pPr>
            <w:r>
              <w:rPr>
                <w:rFonts w:eastAsia="黑体"/>
                <w:bCs/>
                <w:color w:val="auto"/>
                <w:szCs w:val="21"/>
              </w:rPr>
              <w:t>表</w:t>
            </w:r>
            <w:r>
              <w:rPr>
                <w:rFonts w:hint="eastAsia" w:eastAsia="黑体"/>
                <w:bCs/>
                <w:color w:val="auto"/>
                <w:szCs w:val="21"/>
                <w:lang w:val="en-US" w:eastAsia="zh-CN"/>
              </w:rPr>
              <w:t>13</w:t>
            </w:r>
            <w:r>
              <w:rPr>
                <w:rFonts w:eastAsia="黑体"/>
                <w:bCs/>
                <w:color w:val="auto"/>
                <w:szCs w:val="21"/>
              </w:rPr>
              <w:t xml:space="preserve"> 污染物排放清单及环境管理一览表</w:t>
            </w:r>
          </w:p>
          <w:tbl>
            <w:tblPr>
              <w:tblStyle w:val="37"/>
              <w:tblW w:w="0" w:type="auto"/>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662"/>
              <w:gridCol w:w="1438"/>
              <w:gridCol w:w="1142"/>
              <w:gridCol w:w="2067"/>
              <w:gridCol w:w="2191"/>
              <w:gridCol w:w="2059"/>
              <w:gridCol w:w="1300"/>
              <w:gridCol w:w="2293"/>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190" w:hRule="atLeast"/>
                <w:tblHeader/>
                <w:jc w:val="center"/>
              </w:trPr>
              <w:tc>
                <w:tcPr>
                  <w:tcW w:w="662" w:type="dxa"/>
                  <w:noWrap w:val="0"/>
                  <w:vAlign w:val="center"/>
                </w:tcPr>
                <w:p>
                  <w:pPr>
                    <w:adjustRightInd w:val="0"/>
                    <w:snapToGrid w:val="0"/>
                    <w:jc w:val="center"/>
                    <w:rPr>
                      <w:color w:val="auto"/>
                      <w:szCs w:val="21"/>
                    </w:rPr>
                  </w:pPr>
                  <w:r>
                    <w:rPr>
                      <w:color w:val="auto"/>
                      <w:szCs w:val="21"/>
                    </w:rPr>
                    <w:t>项目</w:t>
                  </w:r>
                </w:p>
              </w:tc>
              <w:tc>
                <w:tcPr>
                  <w:tcW w:w="1438" w:type="dxa"/>
                  <w:noWrap w:val="0"/>
                  <w:vAlign w:val="center"/>
                </w:tcPr>
                <w:p>
                  <w:pPr>
                    <w:adjustRightInd w:val="0"/>
                    <w:snapToGrid w:val="0"/>
                    <w:jc w:val="center"/>
                    <w:rPr>
                      <w:color w:val="auto"/>
                      <w:szCs w:val="21"/>
                    </w:rPr>
                  </w:pPr>
                  <w:r>
                    <w:rPr>
                      <w:color w:val="auto"/>
                      <w:szCs w:val="21"/>
                    </w:rPr>
                    <w:t>污染工序</w:t>
                  </w:r>
                </w:p>
              </w:tc>
              <w:tc>
                <w:tcPr>
                  <w:tcW w:w="1142" w:type="dxa"/>
                  <w:noWrap w:val="0"/>
                  <w:vAlign w:val="center"/>
                </w:tcPr>
                <w:p>
                  <w:pPr>
                    <w:adjustRightInd w:val="0"/>
                    <w:snapToGrid w:val="0"/>
                    <w:jc w:val="center"/>
                    <w:rPr>
                      <w:color w:val="auto"/>
                      <w:szCs w:val="21"/>
                    </w:rPr>
                  </w:pPr>
                  <w:r>
                    <w:rPr>
                      <w:color w:val="auto"/>
                      <w:szCs w:val="21"/>
                    </w:rPr>
                    <w:t>污染因子</w:t>
                  </w:r>
                </w:p>
              </w:tc>
              <w:tc>
                <w:tcPr>
                  <w:tcW w:w="2067" w:type="dxa"/>
                  <w:noWrap w:val="0"/>
                  <w:vAlign w:val="center"/>
                </w:tcPr>
                <w:p>
                  <w:pPr>
                    <w:adjustRightInd w:val="0"/>
                    <w:snapToGrid w:val="0"/>
                    <w:jc w:val="center"/>
                    <w:rPr>
                      <w:color w:val="auto"/>
                      <w:szCs w:val="21"/>
                    </w:rPr>
                  </w:pPr>
                  <w:r>
                    <w:rPr>
                      <w:color w:val="auto"/>
                      <w:szCs w:val="21"/>
                    </w:rPr>
                    <w:t>污染防治措施</w:t>
                  </w:r>
                </w:p>
              </w:tc>
              <w:tc>
                <w:tcPr>
                  <w:tcW w:w="2191" w:type="dxa"/>
                  <w:noWrap w:val="0"/>
                  <w:vAlign w:val="center"/>
                </w:tcPr>
                <w:p>
                  <w:pPr>
                    <w:adjustRightInd w:val="0"/>
                    <w:snapToGrid w:val="0"/>
                    <w:jc w:val="center"/>
                    <w:rPr>
                      <w:color w:val="auto"/>
                      <w:szCs w:val="21"/>
                    </w:rPr>
                  </w:pPr>
                  <w:r>
                    <w:rPr>
                      <w:color w:val="auto"/>
                      <w:szCs w:val="21"/>
                    </w:rPr>
                    <w:t>排放浓度/排放速率</w:t>
                  </w:r>
                </w:p>
              </w:tc>
              <w:tc>
                <w:tcPr>
                  <w:tcW w:w="2059" w:type="dxa"/>
                  <w:noWrap w:val="0"/>
                  <w:vAlign w:val="center"/>
                </w:tcPr>
                <w:p>
                  <w:pPr>
                    <w:adjustRightInd w:val="0"/>
                    <w:snapToGrid w:val="0"/>
                    <w:jc w:val="center"/>
                    <w:rPr>
                      <w:color w:val="auto"/>
                      <w:szCs w:val="21"/>
                    </w:rPr>
                  </w:pPr>
                  <w:r>
                    <w:rPr>
                      <w:color w:val="auto"/>
                      <w:szCs w:val="21"/>
                    </w:rPr>
                    <w:t>执行标准</w:t>
                  </w:r>
                </w:p>
              </w:tc>
              <w:tc>
                <w:tcPr>
                  <w:tcW w:w="1300" w:type="dxa"/>
                  <w:noWrap w:val="0"/>
                  <w:vAlign w:val="center"/>
                </w:tcPr>
                <w:p>
                  <w:pPr>
                    <w:adjustRightInd w:val="0"/>
                    <w:snapToGrid w:val="0"/>
                    <w:jc w:val="center"/>
                    <w:rPr>
                      <w:color w:val="auto"/>
                      <w:szCs w:val="21"/>
                    </w:rPr>
                  </w:pPr>
                  <w:r>
                    <w:rPr>
                      <w:color w:val="auto"/>
                      <w:szCs w:val="21"/>
                    </w:rPr>
                    <w:t>排放量t/a</w:t>
                  </w:r>
                </w:p>
              </w:tc>
              <w:tc>
                <w:tcPr>
                  <w:tcW w:w="2293" w:type="dxa"/>
                  <w:noWrap w:val="0"/>
                  <w:vAlign w:val="center"/>
                </w:tcPr>
                <w:p>
                  <w:pPr>
                    <w:adjustRightInd w:val="0"/>
                    <w:snapToGrid w:val="0"/>
                    <w:jc w:val="center"/>
                    <w:rPr>
                      <w:color w:val="auto"/>
                      <w:szCs w:val="21"/>
                    </w:rPr>
                  </w:pPr>
                  <w:r>
                    <w:rPr>
                      <w:color w:val="auto"/>
                      <w:szCs w:val="21"/>
                    </w:rPr>
                    <w:t>环境监测</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59" w:hRule="atLeast"/>
                <w:jc w:val="center"/>
              </w:trPr>
              <w:tc>
                <w:tcPr>
                  <w:tcW w:w="662" w:type="dxa"/>
                  <w:noWrap w:val="0"/>
                  <w:vAlign w:val="center"/>
                </w:tcPr>
                <w:p>
                  <w:pPr>
                    <w:adjustRightInd w:val="0"/>
                    <w:snapToGrid w:val="0"/>
                    <w:jc w:val="center"/>
                    <w:rPr>
                      <w:bCs/>
                      <w:color w:val="auto"/>
                      <w:szCs w:val="21"/>
                    </w:rPr>
                  </w:pPr>
                  <w:r>
                    <w:rPr>
                      <w:bCs/>
                      <w:color w:val="auto"/>
                      <w:szCs w:val="21"/>
                    </w:rPr>
                    <w:t>工程</w:t>
                  </w:r>
                </w:p>
                <w:p>
                  <w:pPr>
                    <w:adjustRightInd w:val="0"/>
                    <w:snapToGrid w:val="0"/>
                    <w:jc w:val="center"/>
                    <w:rPr>
                      <w:bCs/>
                      <w:color w:val="auto"/>
                      <w:szCs w:val="21"/>
                    </w:rPr>
                  </w:pPr>
                  <w:r>
                    <w:rPr>
                      <w:bCs/>
                      <w:color w:val="auto"/>
                      <w:szCs w:val="21"/>
                    </w:rPr>
                    <w:t>组成</w:t>
                  </w:r>
                </w:p>
              </w:tc>
              <w:tc>
                <w:tcPr>
                  <w:tcW w:w="12490" w:type="dxa"/>
                  <w:gridSpan w:val="7"/>
                  <w:noWrap w:val="0"/>
                  <w:vAlign w:val="center"/>
                </w:tcPr>
                <w:p>
                  <w:pPr>
                    <w:adjustRightInd w:val="0"/>
                    <w:snapToGrid w:val="0"/>
                    <w:rPr>
                      <w:bCs/>
                      <w:color w:val="auto"/>
                      <w:szCs w:val="21"/>
                    </w:rPr>
                  </w:pPr>
                  <w:r>
                    <w:rPr>
                      <w:rFonts w:hint="eastAsia"/>
                      <w:color w:val="auto"/>
                      <w:szCs w:val="21"/>
                      <w:lang w:val="en-US" w:eastAsia="zh-CN"/>
                    </w:rPr>
                    <w:t>该公司拟投资796万元，租赁</w:t>
                  </w:r>
                  <w:r>
                    <w:rPr>
                      <w:rFonts w:hint="default"/>
                      <w:color w:val="auto"/>
                      <w:szCs w:val="21"/>
                    </w:rPr>
                    <w:t>青岛奥立丰工业制品有限公司</w:t>
                  </w:r>
                  <w:r>
                    <w:rPr>
                      <w:rFonts w:hint="eastAsia"/>
                      <w:color w:val="auto"/>
                      <w:szCs w:val="21"/>
                      <w:lang w:val="en-US" w:eastAsia="zh-CN"/>
                    </w:rPr>
                    <w:t>闲置</w:t>
                  </w:r>
                  <w:r>
                    <w:rPr>
                      <w:rFonts w:hint="default"/>
                      <w:color w:val="auto"/>
                      <w:szCs w:val="21"/>
                    </w:rPr>
                    <w:t>厂房，</w:t>
                  </w:r>
                  <w:r>
                    <w:rPr>
                      <w:rFonts w:hint="eastAsia"/>
                      <w:color w:val="auto"/>
                      <w:szCs w:val="21"/>
                      <w:lang w:val="en-US" w:eastAsia="zh-CN"/>
                    </w:rPr>
                    <w:t>总占地</w:t>
                  </w:r>
                  <w:r>
                    <w:rPr>
                      <w:rFonts w:hint="default"/>
                      <w:color w:val="auto"/>
                      <w:szCs w:val="21"/>
                    </w:rPr>
                    <w:t>面积为3941</w:t>
                  </w:r>
                  <w:r>
                    <w:rPr>
                      <w:rFonts w:hint="eastAsia"/>
                      <w:color w:val="auto"/>
                      <w:szCs w:val="21"/>
                      <w:lang w:val="en-US" w:eastAsia="zh-CN"/>
                    </w:rPr>
                    <w:t>m</w:t>
                  </w:r>
                  <w:r>
                    <w:rPr>
                      <w:rFonts w:hint="eastAsia"/>
                      <w:color w:val="auto"/>
                      <w:szCs w:val="21"/>
                      <w:vertAlign w:val="superscript"/>
                      <w:lang w:val="en-US" w:eastAsia="zh-CN"/>
                    </w:rPr>
                    <w:t>2</w:t>
                  </w:r>
                  <w:r>
                    <w:rPr>
                      <w:rFonts w:hint="default"/>
                      <w:color w:val="auto"/>
                      <w:szCs w:val="21"/>
                    </w:rPr>
                    <w:t>，</w:t>
                  </w:r>
                  <w:r>
                    <w:rPr>
                      <w:rFonts w:hint="eastAsia"/>
                      <w:color w:val="auto"/>
                      <w:szCs w:val="21"/>
                      <w:lang w:val="en-US" w:eastAsia="zh-CN"/>
                    </w:rPr>
                    <w:t>总建筑面积为3153m</w:t>
                  </w:r>
                  <w:r>
                    <w:rPr>
                      <w:rFonts w:hint="eastAsia"/>
                      <w:color w:val="auto"/>
                      <w:szCs w:val="21"/>
                      <w:vertAlign w:val="superscript"/>
                      <w:lang w:val="en-US" w:eastAsia="zh-CN"/>
                    </w:rPr>
                    <w:t>2</w:t>
                  </w:r>
                  <w:r>
                    <w:rPr>
                      <w:rFonts w:hint="eastAsia"/>
                      <w:color w:val="auto"/>
                      <w:szCs w:val="21"/>
                      <w:lang w:val="en-US" w:eastAsia="zh-CN"/>
                    </w:rPr>
                    <w:t>，</w:t>
                  </w:r>
                  <w:r>
                    <w:rPr>
                      <w:rFonts w:hint="default"/>
                      <w:color w:val="auto"/>
                      <w:szCs w:val="21"/>
                    </w:rPr>
                    <w:t>建设</w:t>
                  </w:r>
                  <w:r>
                    <w:rPr>
                      <w:rFonts w:hint="eastAsia"/>
                      <w:color w:val="auto"/>
                      <w:szCs w:val="21"/>
                      <w:lang w:val="en-US" w:eastAsia="zh-CN"/>
                    </w:rPr>
                    <w:t>天然食品添加剂</w:t>
                  </w:r>
                  <w:r>
                    <w:rPr>
                      <w:rFonts w:hint="default"/>
                      <w:color w:val="auto"/>
                      <w:szCs w:val="21"/>
                    </w:rPr>
                    <w:t>生产线，建成后，达到年产12吨的天然</w:t>
                  </w:r>
                  <w:r>
                    <w:rPr>
                      <w:rFonts w:hint="eastAsia"/>
                      <w:color w:val="auto"/>
                      <w:szCs w:val="21"/>
                      <w:lang w:val="en-US" w:eastAsia="zh-CN"/>
                    </w:rPr>
                    <w:t>食品</w:t>
                  </w:r>
                  <w:r>
                    <w:rPr>
                      <w:rFonts w:hint="default"/>
                      <w:color w:val="auto"/>
                      <w:szCs w:val="21"/>
                    </w:rPr>
                    <w:t>添加剂</w:t>
                  </w:r>
                  <w:r>
                    <w:rPr>
                      <w:rFonts w:hint="eastAsia"/>
                      <w:color w:val="auto"/>
                      <w:szCs w:val="21"/>
                      <w:lang w:val="en-US" w:eastAsia="zh-CN"/>
                    </w:rPr>
                    <w:t>的生产能力</w:t>
                  </w:r>
                  <w:r>
                    <w:rPr>
                      <w:rFonts w:hint="default"/>
                      <w:color w:val="auto"/>
                      <w:szCs w:val="21"/>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59" w:hRule="atLeast"/>
                <w:jc w:val="center"/>
              </w:trPr>
              <w:tc>
                <w:tcPr>
                  <w:tcW w:w="662" w:type="dxa"/>
                  <w:noWrap w:val="0"/>
                  <w:vAlign w:val="center"/>
                </w:tcPr>
                <w:p>
                  <w:pPr>
                    <w:adjustRightInd w:val="0"/>
                    <w:snapToGrid w:val="0"/>
                    <w:jc w:val="center"/>
                    <w:rPr>
                      <w:bCs/>
                      <w:color w:val="auto"/>
                      <w:szCs w:val="21"/>
                    </w:rPr>
                  </w:pPr>
                  <w:r>
                    <w:rPr>
                      <w:bCs/>
                      <w:color w:val="auto"/>
                      <w:szCs w:val="21"/>
                    </w:rPr>
                    <w:t>原辅</w:t>
                  </w:r>
                </w:p>
                <w:p>
                  <w:pPr>
                    <w:adjustRightInd w:val="0"/>
                    <w:snapToGrid w:val="0"/>
                    <w:jc w:val="center"/>
                    <w:rPr>
                      <w:bCs/>
                      <w:color w:val="auto"/>
                      <w:szCs w:val="21"/>
                    </w:rPr>
                  </w:pPr>
                  <w:r>
                    <w:rPr>
                      <w:bCs/>
                      <w:color w:val="auto"/>
                      <w:szCs w:val="21"/>
                    </w:rPr>
                    <w:t>材料</w:t>
                  </w:r>
                </w:p>
              </w:tc>
              <w:tc>
                <w:tcPr>
                  <w:tcW w:w="12490" w:type="dxa"/>
                  <w:gridSpan w:val="7"/>
                  <w:noWrap w:val="0"/>
                  <w:vAlign w:val="center"/>
                </w:tcPr>
                <w:p>
                  <w:pPr>
                    <w:adjustRightInd w:val="0"/>
                    <w:snapToGrid w:val="0"/>
                    <w:rPr>
                      <w:bCs/>
                      <w:color w:val="auto"/>
                      <w:szCs w:val="21"/>
                    </w:rPr>
                  </w:pPr>
                  <w:r>
                    <w:rPr>
                      <w:color w:val="auto"/>
                      <w:szCs w:val="21"/>
                    </w:rPr>
                    <w:t>主要原辅材料：核酸提取试剂盒，</w:t>
                  </w:r>
                  <w:r>
                    <w:rPr>
                      <w:rFonts w:hint="eastAsia"/>
                      <w:szCs w:val="21"/>
                    </w:rPr>
                    <w:t>文库制备试剂盒</w:t>
                  </w:r>
                  <w:r>
                    <w:rPr>
                      <w:color w:val="auto"/>
                      <w:szCs w:val="21"/>
                    </w:rPr>
                    <w:t>等。</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969" w:hRule="atLeast"/>
                <w:jc w:val="center"/>
              </w:trPr>
              <w:tc>
                <w:tcPr>
                  <w:tcW w:w="662" w:type="dxa"/>
                  <w:vMerge w:val="restart"/>
                  <w:noWrap w:val="0"/>
                  <w:vAlign w:val="center"/>
                </w:tcPr>
                <w:p>
                  <w:pPr>
                    <w:adjustRightInd w:val="0"/>
                    <w:snapToGrid w:val="0"/>
                    <w:jc w:val="center"/>
                    <w:rPr>
                      <w:color w:val="auto"/>
                      <w:szCs w:val="21"/>
                    </w:rPr>
                  </w:pPr>
                  <w:r>
                    <w:rPr>
                      <w:color w:val="auto"/>
                      <w:szCs w:val="21"/>
                    </w:rPr>
                    <w:t>废气</w:t>
                  </w:r>
                </w:p>
              </w:tc>
              <w:tc>
                <w:tcPr>
                  <w:tcW w:w="1438" w:type="dxa"/>
                  <w:noWrap w:val="0"/>
                  <w:vAlign w:val="center"/>
                </w:tcPr>
                <w:p>
                  <w:pPr>
                    <w:jc w:val="center"/>
                    <w:rPr>
                      <w:rFonts w:hint="default" w:eastAsia="宋体"/>
                      <w:color w:val="auto"/>
                      <w:szCs w:val="21"/>
                      <w:lang w:val="en-US" w:eastAsia="zh-CN"/>
                    </w:rPr>
                  </w:pPr>
                  <w:r>
                    <w:rPr>
                      <w:rFonts w:hint="eastAsia"/>
                      <w:color w:val="auto"/>
                      <w:szCs w:val="21"/>
                      <w:lang w:val="en-US" w:eastAsia="zh-CN"/>
                    </w:rPr>
                    <w:t>提取、冷却</w:t>
                  </w:r>
                </w:p>
              </w:tc>
              <w:tc>
                <w:tcPr>
                  <w:tcW w:w="1142" w:type="dxa"/>
                  <w:noWrap w:val="0"/>
                  <w:vAlign w:val="center"/>
                </w:tcPr>
                <w:p>
                  <w:pPr>
                    <w:adjustRightInd w:val="0"/>
                    <w:snapToGrid w:val="0"/>
                    <w:jc w:val="center"/>
                    <w:rPr>
                      <w:rFonts w:hint="eastAsia" w:eastAsia="宋体"/>
                      <w:color w:val="auto"/>
                      <w:szCs w:val="21"/>
                      <w:lang w:val="en-US" w:eastAsia="zh-CN"/>
                    </w:rPr>
                  </w:pPr>
                  <w:r>
                    <w:rPr>
                      <w:rFonts w:hint="eastAsia"/>
                      <w:color w:val="auto"/>
                      <w:szCs w:val="21"/>
                      <w:lang w:val="en-US" w:eastAsia="zh-CN"/>
                    </w:rPr>
                    <w:t>臭气浓度</w:t>
                  </w:r>
                </w:p>
              </w:tc>
              <w:tc>
                <w:tcPr>
                  <w:tcW w:w="2067" w:type="dxa"/>
                  <w:noWrap w:val="0"/>
                  <w:vAlign w:val="center"/>
                </w:tcPr>
                <w:p>
                  <w:pPr>
                    <w:adjustRightInd w:val="0"/>
                    <w:snapToGrid w:val="0"/>
                    <w:jc w:val="center"/>
                    <w:rPr>
                      <w:color w:val="auto"/>
                      <w:szCs w:val="21"/>
                    </w:rPr>
                  </w:pPr>
                  <w:r>
                    <w:rPr>
                      <w:rFonts w:hint="eastAsia" w:ascii="Times New Roman" w:hAnsi="Times New Roman" w:cs="Times New Roman"/>
                      <w:sz w:val="21"/>
                      <w:szCs w:val="21"/>
                      <w:lang w:val="en-US" w:eastAsia="zh-CN"/>
                    </w:rPr>
                    <w:t>真空干燥机采用</w:t>
                  </w:r>
                  <w:r>
                    <w:rPr>
                      <w:rFonts w:hint="eastAsia" w:cs="Times New Roman"/>
                      <w:sz w:val="21"/>
                      <w:szCs w:val="21"/>
                      <w:lang w:val="en-US" w:eastAsia="zh-CN"/>
                    </w:rPr>
                    <w:t>冷却水</w:t>
                  </w:r>
                  <w:r>
                    <w:rPr>
                      <w:rFonts w:hint="eastAsia" w:ascii="Times New Roman" w:hAnsi="Times New Roman" w:cs="Times New Roman"/>
                      <w:sz w:val="21"/>
                      <w:szCs w:val="21"/>
                      <w:lang w:val="en-US" w:eastAsia="zh-CN"/>
                    </w:rPr>
                    <w:t>回收提取物</w:t>
                  </w:r>
                </w:p>
              </w:tc>
              <w:tc>
                <w:tcPr>
                  <w:tcW w:w="2191" w:type="dxa"/>
                  <w:noWrap w:val="0"/>
                  <w:vAlign w:val="center"/>
                </w:tcPr>
                <w:p>
                  <w:pPr>
                    <w:adjustRightInd w:val="0"/>
                    <w:snapToGrid w:val="0"/>
                    <w:jc w:val="center"/>
                    <w:rPr>
                      <w:rFonts w:hint="default" w:eastAsia="宋体"/>
                      <w:color w:val="auto"/>
                      <w:szCs w:val="21"/>
                      <w:lang w:val="en-US" w:eastAsia="zh-CN"/>
                    </w:rPr>
                  </w:pPr>
                  <w:r>
                    <w:rPr>
                      <w:rFonts w:hint="eastAsia"/>
                      <w:color w:val="auto"/>
                      <w:szCs w:val="21"/>
                      <w:lang w:val="en-US" w:eastAsia="zh-CN"/>
                    </w:rPr>
                    <w:t>/</w:t>
                  </w:r>
                </w:p>
              </w:tc>
              <w:tc>
                <w:tcPr>
                  <w:tcW w:w="2059" w:type="dxa"/>
                  <w:vMerge w:val="restart"/>
                  <w:noWrap w:val="0"/>
                  <w:vAlign w:val="center"/>
                </w:tcPr>
                <w:p>
                  <w:pPr>
                    <w:adjustRightInd w:val="0"/>
                    <w:snapToGrid w:val="0"/>
                    <w:rPr>
                      <w:rFonts w:hint="default"/>
                      <w:color w:val="auto"/>
                      <w:szCs w:val="21"/>
                      <w:lang w:val="en-US"/>
                    </w:rPr>
                  </w:pPr>
                  <w:r>
                    <w:rPr>
                      <w:rFonts w:hint="eastAsia" w:ascii="Times New Roman" w:hAnsi="Times New Roman" w:cs="Times New Roman"/>
                      <w:sz w:val="21"/>
                      <w:szCs w:val="21"/>
                      <w:lang w:val="en-US" w:eastAsia="zh-CN"/>
                    </w:rPr>
                    <w:t>《恶臭污染物排放标准》（GB14554-93）表1二级标准要求</w:t>
                  </w:r>
                </w:p>
              </w:tc>
              <w:tc>
                <w:tcPr>
                  <w:tcW w:w="1300" w:type="dxa"/>
                  <w:noWrap w:val="0"/>
                  <w:vAlign w:val="center"/>
                </w:tcPr>
                <w:p>
                  <w:pPr>
                    <w:adjustRightInd w:val="0"/>
                    <w:snapToGrid w:val="0"/>
                    <w:jc w:val="center"/>
                    <w:rPr>
                      <w:rFonts w:hint="eastAsia" w:eastAsia="宋体"/>
                      <w:color w:val="auto"/>
                      <w:szCs w:val="21"/>
                      <w:lang w:val="en-US" w:eastAsia="zh-CN"/>
                    </w:rPr>
                  </w:pPr>
                  <w:r>
                    <w:rPr>
                      <w:rFonts w:hint="eastAsia"/>
                      <w:color w:val="auto"/>
                      <w:szCs w:val="21"/>
                      <w:lang w:val="en-US" w:eastAsia="zh-CN"/>
                    </w:rPr>
                    <w:t>/</w:t>
                  </w:r>
                </w:p>
              </w:tc>
              <w:tc>
                <w:tcPr>
                  <w:tcW w:w="2293" w:type="dxa"/>
                  <w:vMerge w:val="restart"/>
                  <w:noWrap w:val="0"/>
                  <w:vAlign w:val="center"/>
                </w:tcPr>
                <w:p>
                  <w:pPr>
                    <w:adjustRightInd w:val="0"/>
                    <w:snapToGrid w:val="0"/>
                    <w:jc w:val="both"/>
                    <w:rPr>
                      <w:rFonts w:hint="default" w:eastAsia="宋体"/>
                      <w:color w:val="auto"/>
                      <w:szCs w:val="21"/>
                      <w:lang w:val="en-US" w:eastAsia="zh-CN"/>
                    </w:rPr>
                  </w:pPr>
                  <w:r>
                    <w:rPr>
                      <w:color w:val="auto"/>
                      <w:szCs w:val="21"/>
                    </w:rPr>
                    <w:t>监测点位：厂界监测因子：</w:t>
                  </w:r>
                  <w:r>
                    <w:rPr>
                      <w:rFonts w:hint="eastAsia"/>
                      <w:color w:val="auto"/>
                      <w:szCs w:val="21"/>
                      <w:lang w:val="en-US" w:eastAsia="zh-CN"/>
                    </w:rPr>
                    <w:t>H</w:t>
                  </w:r>
                  <w:r>
                    <w:rPr>
                      <w:rFonts w:hint="eastAsia"/>
                      <w:color w:val="auto"/>
                      <w:szCs w:val="21"/>
                      <w:vertAlign w:val="subscript"/>
                      <w:lang w:val="en-US" w:eastAsia="zh-CN"/>
                    </w:rPr>
                    <w:t>2</w:t>
                  </w:r>
                  <w:r>
                    <w:rPr>
                      <w:rFonts w:hint="eastAsia"/>
                      <w:color w:val="auto"/>
                      <w:szCs w:val="21"/>
                      <w:lang w:val="en-US" w:eastAsia="zh-CN"/>
                    </w:rPr>
                    <w:t>S、NH</w:t>
                  </w:r>
                  <w:r>
                    <w:rPr>
                      <w:rFonts w:hint="eastAsia"/>
                      <w:color w:val="auto"/>
                      <w:szCs w:val="21"/>
                      <w:vertAlign w:val="subscript"/>
                      <w:lang w:val="en-US" w:eastAsia="zh-CN"/>
                    </w:rPr>
                    <w:t>3</w:t>
                  </w:r>
                  <w:r>
                    <w:rPr>
                      <w:rFonts w:hint="eastAsia"/>
                      <w:color w:val="auto"/>
                      <w:szCs w:val="21"/>
                      <w:lang w:val="en-US" w:eastAsia="zh-CN"/>
                    </w:rPr>
                    <w:t>、臭气浓度</w:t>
                  </w:r>
                </w:p>
                <w:p>
                  <w:pPr>
                    <w:adjustRightInd w:val="0"/>
                    <w:snapToGrid w:val="0"/>
                    <w:jc w:val="both"/>
                    <w:rPr>
                      <w:color w:val="auto"/>
                      <w:szCs w:val="21"/>
                    </w:rPr>
                  </w:pPr>
                  <w:r>
                    <w:rPr>
                      <w:color w:val="auto"/>
                      <w:szCs w:val="21"/>
                    </w:rPr>
                    <w:t>监测频次：半年一次</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662" w:type="dxa"/>
                  <w:vMerge w:val="continue"/>
                  <w:noWrap w:val="0"/>
                  <w:vAlign w:val="center"/>
                </w:tcPr>
                <w:p>
                  <w:pPr>
                    <w:adjustRightInd w:val="0"/>
                    <w:snapToGrid w:val="0"/>
                    <w:jc w:val="center"/>
                    <w:rPr>
                      <w:color w:val="auto"/>
                      <w:szCs w:val="21"/>
                    </w:rPr>
                  </w:pPr>
                </w:p>
              </w:tc>
              <w:tc>
                <w:tcPr>
                  <w:tcW w:w="1438" w:type="dxa"/>
                  <w:noWrap w:val="0"/>
                  <w:vAlign w:val="center"/>
                </w:tcPr>
                <w:p>
                  <w:pPr>
                    <w:jc w:val="center"/>
                    <w:rPr>
                      <w:rFonts w:hint="eastAsia"/>
                      <w:color w:val="auto"/>
                      <w:szCs w:val="21"/>
                      <w:lang w:val="en-US" w:eastAsia="zh-CN"/>
                    </w:rPr>
                  </w:pPr>
                  <w:r>
                    <w:rPr>
                      <w:rFonts w:hint="eastAsia"/>
                      <w:color w:val="auto"/>
                      <w:szCs w:val="21"/>
                      <w:lang w:val="en-US" w:eastAsia="zh-CN"/>
                    </w:rPr>
                    <w:t>污水处理站</w:t>
                  </w:r>
                </w:p>
              </w:tc>
              <w:tc>
                <w:tcPr>
                  <w:tcW w:w="1142" w:type="dxa"/>
                  <w:noWrap w:val="0"/>
                  <w:vAlign w:val="center"/>
                </w:tcPr>
                <w:p>
                  <w:pPr>
                    <w:adjustRightInd w:val="0"/>
                    <w:snapToGrid w:val="0"/>
                    <w:jc w:val="center"/>
                    <w:rPr>
                      <w:rFonts w:hint="default"/>
                      <w:color w:val="auto"/>
                      <w:szCs w:val="21"/>
                      <w:lang w:val="en-US" w:eastAsia="zh-CN"/>
                    </w:rPr>
                  </w:pPr>
                  <w:r>
                    <w:rPr>
                      <w:rFonts w:hint="eastAsia"/>
                      <w:color w:val="auto"/>
                      <w:szCs w:val="21"/>
                      <w:lang w:val="en-US" w:eastAsia="zh-CN"/>
                    </w:rPr>
                    <w:t>H</w:t>
                  </w:r>
                  <w:r>
                    <w:rPr>
                      <w:rFonts w:hint="eastAsia"/>
                      <w:color w:val="auto"/>
                      <w:szCs w:val="21"/>
                      <w:vertAlign w:val="subscript"/>
                      <w:lang w:val="en-US" w:eastAsia="zh-CN"/>
                    </w:rPr>
                    <w:t>2</w:t>
                  </w:r>
                  <w:r>
                    <w:rPr>
                      <w:rFonts w:hint="eastAsia"/>
                      <w:color w:val="auto"/>
                      <w:szCs w:val="21"/>
                      <w:lang w:val="en-US" w:eastAsia="zh-CN"/>
                    </w:rPr>
                    <w:t>S、NH</w:t>
                  </w:r>
                  <w:r>
                    <w:rPr>
                      <w:rFonts w:hint="eastAsia"/>
                      <w:color w:val="auto"/>
                      <w:szCs w:val="21"/>
                      <w:vertAlign w:val="subscript"/>
                      <w:lang w:val="en-US" w:eastAsia="zh-CN"/>
                    </w:rPr>
                    <w:t>3</w:t>
                  </w:r>
                  <w:r>
                    <w:rPr>
                      <w:rFonts w:hint="eastAsia"/>
                      <w:color w:val="auto"/>
                      <w:szCs w:val="21"/>
                      <w:lang w:val="en-US" w:eastAsia="zh-CN"/>
                    </w:rPr>
                    <w:t>、臭气浓度</w:t>
                  </w:r>
                </w:p>
              </w:tc>
              <w:tc>
                <w:tcPr>
                  <w:tcW w:w="2067" w:type="dxa"/>
                  <w:noWrap w:val="0"/>
                  <w:vAlign w:val="center"/>
                </w:tcPr>
                <w:p>
                  <w:pPr>
                    <w:adjustRightInd w:val="0"/>
                    <w:snapToGrid w:val="0"/>
                    <w:jc w:val="center"/>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产生异味气体的污水池加盖封闭</w:t>
                  </w:r>
                </w:p>
              </w:tc>
              <w:tc>
                <w:tcPr>
                  <w:tcW w:w="2191" w:type="dxa"/>
                  <w:noWrap w:val="0"/>
                  <w:vAlign w:val="center"/>
                </w:tcPr>
                <w:p>
                  <w:pPr>
                    <w:adjustRightInd w:val="0"/>
                    <w:snapToGrid w:val="0"/>
                    <w:jc w:val="center"/>
                    <w:rPr>
                      <w:rFonts w:hint="eastAsia"/>
                      <w:color w:val="auto"/>
                      <w:szCs w:val="21"/>
                      <w:lang w:val="en-US" w:eastAsia="zh-CN"/>
                    </w:rPr>
                  </w:pPr>
                  <w:r>
                    <w:rPr>
                      <w:rFonts w:hint="eastAsia"/>
                      <w:color w:val="auto"/>
                      <w:szCs w:val="21"/>
                      <w:lang w:val="en-US" w:eastAsia="zh-CN"/>
                    </w:rPr>
                    <w:t>/</w:t>
                  </w:r>
                </w:p>
              </w:tc>
              <w:tc>
                <w:tcPr>
                  <w:tcW w:w="2059" w:type="dxa"/>
                  <w:vMerge w:val="continue"/>
                  <w:noWrap w:val="0"/>
                  <w:vAlign w:val="center"/>
                </w:tcPr>
                <w:p>
                  <w:pPr>
                    <w:adjustRightInd w:val="0"/>
                    <w:snapToGrid w:val="0"/>
                    <w:rPr>
                      <w:rFonts w:hint="eastAsia" w:ascii="Times New Roman" w:hAnsi="Times New Roman" w:cs="Times New Roman"/>
                      <w:sz w:val="21"/>
                      <w:szCs w:val="21"/>
                      <w:lang w:val="en-US" w:eastAsia="zh-CN"/>
                    </w:rPr>
                  </w:pPr>
                </w:p>
              </w:tc>
              <w:tc>
                <w:tcPr>
                  <w:tcW w:w="1300" w:type="dxa"/>
                  <w:noWrap w:val="0"/>
                  <w:vAlign w:val="center"/>
                </w:tcPr>
                <w:p>
                  <w:pPr>
                    <w:adjustRightInd w:val="0"/>
                    <w:snapToGrid w:val="0"/>
                    <w:jc w:val="center"/>
                    <w:rPr>
                      <w:rFonts w:hint="eastAsia"/>
                      <w:color w:val="auto"/>
                      <w:szCs w:val="21"/>
                      <w:lang w:val="en-US" w:eastAsia="zh-CN"/>
                    </w:rPr>
                  </w:pPr>
                  <w:r>
                    <w:rPr>
                      <w:rFonts w:hint="eastAsia"/>
                      <w:color w:val="auto"/>
                      <w:szCs w:val="21"/>
                      <w:lang w:val="en-US" w:eastAsia="zh-CN"/>
                    </w:rPr>
                    <w:t>/</w:t>
                  </w:r>
                </w:p>
              </w:tc>
              <w:tc>
                <w:tcPr>
                  <w:tcW w:w="2293" w:type="dxa"/>
                  <w:vMerge w:val="continue"/>
                  <w:noWrap w:val="0"/>
                  <w:vAlign w:val="center"/>
                </w:tcPr>
                <w:p>
                  <w:pPr>
                    <w:adjustRightInd w:val="0"/>
                    <w:snapToGrid w:val="0"/>
                    <w:jc w:val="both"/>
                    <w:rPr>
                      <w:color w:val="auto"/>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461" w:hRule="atLeast"/>
                <w:jc w:val="center"/>
              </w:trPr>
              <w:tc>
                <w:tcPr>
                  <w:tcW w:w="662" w:type="dxa"/>
                  <w:vMerge w:val="restart"/>
                  <w:noWrap w:val="0"/>
                  <w:vAlign w:val="center"/>
                </w:tcPr>
                <w:p>
                  <w:pPr>
                    <w:adjustRightInd w:val="0"/>
                    <w:snapToGrid w:val="0"/>
                    <w:jc w:val="center"/>
                    <w:rPr>
                      <w:color w:val="auto"/>
                      <w:szCs w:val="21"/>
                    </w:rPr>
                  </w:pPr>
                  <w:r>
                    <w:rPr>
                      <w:color w:val="auto"/>
                      <w:szCs w:val="21"/>
                    </w:rPr>
                    <w:t>废水</w:t>
                  </w:r>
                </w:p>
              </w:tc>
              <w:tc>
                <w:tcPr>
                  <w:tcW w:w="1438" w:type="dxa"/>
                  <w:noWrap w:val="0"/>
                  <w:vAlign w:val="center"/>
                </w:tcPr>
                <w:p>
                  <w:pPr>
                    <w:adjustRightInd w:val="0"/>
                    <w:snapToGrid w:val="0"/>
                    <w:jc w:val="center"/>
                    <w:rPr>
                      <w:rFonts w:hint="default" w:eastAsia="宋体"/>
                      <w:color w:val="auto"/>
                      <w:szCs w:val="21"/>
                      <w:lang w:val="en-US" w:eastAsia="zh-CN"/>
                    </w:rPr>
                  </w:pPr>
                  <w:r>
                    <w:rPr>
                      <w:rFonts w:hint="eastAsia"/>
                      <w:color w:val="auto"/>
                      <w:szCs w:val="21"/>
                      <w:lang w:val="en-US" w:eastAsia="zh-CN"/>
                    </w:rPr>
                    <w:t>原料、设备、车间地面</w:t>
                  </w:r>
                  <w:r>
                    <w:rPr>
                      <w:color w:val="auto"/>
                      <w:szCs w:val="21"/>
                    </w:rPr>
                    <w:t>清洗</w:t>
                  </w:r>
                  <w:r>
                    <w:rPr>
                      <w:rFonts w:hint="eastAsia"/>
                      <w:color w:val="auto"/>
                      <w:szCs w:val="21"/>
                      <w:lang w:eastAsia="zh-CN"/>
                    </w:rPr>
                    <w:t>、</w:t>
                  </w:r>
                  <w:r>
                    <w:rPr>
                      <w:rFonts w:hint="eastAsia"/>
                      <w:color w:val="auto"/>
                      <w:szCs w:val="21"/>
                      <w:lang w:val="en-US" w:eastAsia="zh-CN"/>
                    </w:rPr>
                    <w:t>纯水制备</w:t>
                  </w:r>
                </w:p>
              </w:tc>
              <w:tc>
                <w:tcPr>
                  <w:tcW w:w="1142" w:type="dxa"/>
                  <w:vMerge w:val="restart"/>
                  <w:noWrap w:val="0"/>
                  <w:vAlign w:val="center"/>
                </w:tcPr>
                <w:p>
                  <w:pPr>
                    <w:autoSpaceDE w:val="0"/>
                    <w:autoSpaceDN w:val="0"/>
                    <w:adjustRightInd w:val="0"/>
                    <w:snapToGrid w:val="0"/>
                    <w:rPr>
                      <w:color w:val="auto"/>
                      <w:kern w:val="0"/>
                      <w:szCs w:val="21"/>
                    </w:rPr>
                  </w:pPr>
                  <w:r>
                    <w:rPr>
                      <w:color w:val="auto"/>
                      <w:kern w:val="0"/>
                      <w:szCs w:val="21"/>
                    </w:rPr>
                    <w:t>COD</w:t>
                  </w:r>
                  <w:r>
                    <w:rPr>
                      <w:color w:val="auto"/>
                      <w:kern w:val="0"/>
                      <w:szCs w:val="21"/>
                      <w:vertAlign w:val="subscript"/>
                    </w:rPr>
                    <w:t>cr</w:t>
                  </w:r>
                  <w:r>
                    <w:rPr>
                      <w:color w:val="auto"/>
                      <w:kern w:val="0"/>
                      <w:szCs w:val="21"/>
                    </w:rPr>
                    <w:t>、BOD</w:t>
                  </w:r>
                  <w:r>
                    <w:rPr>
                      <w:color w:val="auto"/>
                      <w:kern w:val="0"/>
                      <w:szCs w:val="21"/>
                      <w:vertAlign w:val="subscript"/>
                    </w:rPr>
                    <w:t>5</w:t>
                  </w:r>
                  <w:r>
                    <w:rPr>
                      <w:color w:val="auto"/>
                      <w:kern w:val="0"/>
                      <w:szCs w:val="21"/>
                    </w:rPr>
                    <w:t>、SS、NH</w:t>
                  </w:r>
                  <w:r>
                    <w:rPr>
                      <w:color w:val="auto"/>
                      <w:kern w:val="0"/>
                      <w:szCs w:val="21"/>
                      <w:vertAlign w:val="subscript"/>
                    </w:rPr>
                    <w:t>3</w:t>
                  </w:r>
                  <w:r>
                    <w:rPr>
                      <w:color w:val="auto"/>
                      <w:kern w:val="0"/>
                      <w:szCs w:val="21"/>
                    </w:rPr>
                    <w:t>-N</w:t>
                  </w:r>
                </w:p>
              </w:tc>
              <w:tc>
                <w:tcPr>
                  <w:tcW w:w="2067" w:type="dxa"/>
                  <w:noWrap w:val="0"/>
                  <w:vAlign w:val="center"/>
                </w:tcPr>
                <w:p>
                  <w:pPr>
                    <w:adjustRightInd w:val="0"/>
                    <w:snapToGrid w:val="0"/>
                    <w:jc w:val="center"/>
                    <w:rPr>
                      <w:rFonts w:hint="default" w:eastAsia="宋体"/>
                      <w:color w:val="auto"/>
                      <w:szCs w:val="21"/>
                      <w:lang w:val="en-US" w:eastAsia="zh-CN"/>
                    </w:rPr>
                  </w:pPr>
                  <w:r>
                    <w:rPr>
                      <w:rFonts w:hint="eastAsia"/>
                      <w:color w:val="auto"/>
                      <w:szCs w:val="21"/>
                      <w:lang w:val="en-US" w:eastAsia="zh-CN"/>
                    </w:rPr>
                    <w:t>经污水处理站处理</w:t>
                  </w:r>
                </w:p>
              </w:tc>
              <w:tc>
                <w:tcPr>
                  <w:tcW w:w="2191" w:type="dxa"/>
                  <w:vMerge w:val="restart"/>
                  <w:noWrap w:val="0"/>
                  <w:vAlign w:val="center"/>
                </w:tcPr>
                <w:p>
                  <w:pPr>
                    <w:adjustRightInd w:val="0"/>
                    <w:snapToGrid w:val="0"/>
                    <w:jc w:val="center"/>
                    <w:rPr>
                      <w:color w:val="auto"/>
                      <w:kern w:val="0"/>
                      <w:szCs w:val="21"/>
                    </w:rPr>
                  </w:pPr>
                  <w:r>
                    <w:rPr>
                      <w:color w:val="auto"/>
                      <w:kern w:val="0"/>
                      <w:szCs w:val="21"/>
                    </w:rPr>
                    <w:t>COD</w:t>
                  </w:r>
                  <w:r>
                    <w:rPr>
                      <w:color w:val="auto"/>
                      <w:kern w:val="0"/>
                      <w:szCs w:val="21"/>
                      <w:vertAlign w:val="subscript"/>
                    </w:rPr>
                    <w:t>cr</w:t>
                  </w:r>
                  <w:r>
                    <w:rPr>
                      <w:color w:val="auto"/>
                      <w:kern w:val="0"/>
                      <w:szCs w:val="21"/>
                    </w:rPr>
                    <w:t>：500mg/L</w:t>
                  </w:r>
                </w:p>
                <w:p>
                  <w:pPr>
                    <w:adjustRightInd w:val="0"/>
                    <w:snapToGrid w:val="0"/>
                    <w:jc w:val="center"/>
                    <w:rPr>
                      <w:color w:val="auto"/>
                      <w:kern w:val="0"/>
                      <w:szCs w:val="21"/>
                    </w:rPr>
                  </w:pPr>
                  <w:r>
                    <w:rPr>
                      <w:color w:val="auto"/>
                      <w:kern w:val="0"/>
                      <w:szCs w:val="21"/>
                    </w:rPr>
                    <w:t>BOD</w:t>
                  </w:r>
                  <w:r>
                    <w:rPr>
                      <w:color w:val="auto"/>
                      <w:kern w:val="0"/>
                      <w:szCs w:val="21"/>
                      <w:vertAlign w:val="subscript"/>
                    </w:rPr>
                    <w:t>5</w:t>
                  </w:r>
                  <w:r>
                    <w:rPr>
                      <w:color w:val="auto"/>
                      <w:kern w:val="0"/>
                      <w:szCs w:val="21"/>
                    </w:rPr>
                    <w:t>：300 mg/L</w:t>
                  </w:r>
                </w:p>
                <w:p>
                  <w:pPr>
                    <w:adjustRightInd w:val="0"/>
                    <w:snapToGrid w:val="0"/>
                    <w:jc w:val="center"/>
                    <w:rPr>
                      <w:color w:val="auto"/>
                      <w:kern w:val="0"/>
                      <w:szCs w:val="21"/>
                    </w:rPr>
                  </w:pPr>
                  <w:r>
                    <w:rPr>
                      <w:color w:val="auto"/>
                      <w:kern w:val="0"/>
                      <w:szCs w:val="21"/>
                    </w:rPr>
                    <w:t xml:space="preserve">SS：400 mg/L </w:t>
                  </w:r>
                </w:p>
                <w:p>
                  <w:pPr>
                    <w:adjustRightInd w:val="0"/>
                    <w:snapToGrid w:val="0"/>
                    <w:jc w:val="center"/>
                    <w:rPr>
                      <w:color w:val="auto"/>
                      <w:kern w:val="0"/>
                      <w:szCs w:val="21"/>
                    </w:rPr>
                  </w:pPr>
                  <w:r>
                    <w:rPr>
                      <w:color w:val="auto"/>
                      <w:kern w:val="0"/>
                      <w:szCs w:val="21"/>
                    </w:rPr>
                    <w:t>NH</w:t>
                  </w:r>
                  <w:r>
                    <w:rPr>
                      <w:color w:val="auto"/>
                      <w:kern w:val="0"/>
                      <w:szCs w:val="21"/>
                      <w:vertAlign w:val="subscript"/>
                    </w:rPr>
                    <w:t>3</w:t>
                  </w:r>
                  <w:r>
                    <w:rPr>
                      <w:color w:val="auto"/>
                      <w:kern w:val="0"/>
                      <w:szCs w:val="21"/>
                    </w:rPr>
                    <w:t>-N：45 mg/L</w:t>
                  </w:r>
                </w:p>
              </w:tc>
              <w:tc>
                <w:tcPr>
                  <w:tcW w:w="2059" w:type="dxa"/>
                  <w:vMerge w:val="restart"/>
                  <w:noWrap w:val="0"/>
                  <w:vAlign w:val="center"/>
                </w:tcPr>
                <w:p>
                  <w:pPr>
                    <w:adjustRightInd w:val="0"/>
                    <w:snapToGrid w:val="0"/>
                    <w:rPr>
                      <w:color w:val="auto"/>
                      <w:szCs w:val="21"/>
                    </w:rPr>
                  </w:pPr>
                  <w:r>
                    <w:rPr>
                      <w:color w:val="auto"/>
                      <w:szCs w:val="21"/>
                    </w:rPr>
                    <w:t>《污水排入城镇下水道水质标准》（GB/T31962-2015）中B级标准</w:t>
                  </w:r>
                </w:p>
              </w:tc>
              <w:tc>
                <w:tcPr>
                  <w:tcW w:w="1300" w:type="dxa"/>
                  <w:vMerge w:val="restart"/>
                  <w:noWrap w:val="0"/>
                  <w:vAlign w:val="center"/>
                </w:tcPr>
                <w:p>
                  <w:pPr>
                    <w:adjustRightInd w:val="0"/>
                    <w:snapToGrid w:val="0"/>
                    <w:jc w:val="center"/>
                    <w:rPr>
                      <w:rFonts w:ascii="Times New Roman" w:hAnsi="Times New Roman" w:cs="Times New Roman"/>
                      <w:color w:val="auto"/>
                      <w:sz w:val="21"/>
                      <w:szCs w:val="21"/>
                      <w:lang w:val="en-US" w:eastAsia="zh-CN"/>
                    </w:rPr>
                  </w:pPr>
                  <w:r>
                    <w:rPr>
                      <w:rFonts w:ascii="Times New Roman" w:hAnsi="Times New Roman" w:cs="Times New Roman"/>
                      <w:color w:val="auto"/>
                      <w:sz w:val="21"/>
                      <w:szCs w:val="21"/>
                      <w:lang w:val="en-US" w:eastAsia="zh-CN"/>
                    </w:rPr>
                    <w:t>COD</w:t>
                  </w:r>
                  <w:r>
                    <w:rPr>
                      <w:rFonts w:ascii="Times New Roman" w:hAnsi="Times New Roman" w:cs="Times New Roman"/>
                      <w:color w:val="auto"/>
                      <w:sz w:val="21"/>
                      <w:szCs w:val="21"/>
                      <w:vertAlign w:val="subscript"/>
                      <w:lang w:val="en-US" w:eastAsia="zh-CN"/>
                    </w:rPr>
                    <w:t>Cr</w:t>
                  </w:r>
                  <w:r>
                    <w:rPr>
                      <w:rFonts w:ascii="Times New Roman" w:hAnsi="Times New Roman" w:cs="Times New Roman"/>
                      <w:color w:val="auto"/>
                      <w:sz w:val="21"/>
                      <w:szCs w:val="21"/>
                      <w:lang w:val="en-US" w:eastAsia="zh-CN"/>
                    </w:rPr>
                    <w:t>：</w:t>
                  </w:r>
                  <w:r>
                    <w:rPr>
                      <w:rFonts w:hint="eastAsia" w:ascii="Times New Roman" w:cs="Times New Roman"/>
                      <w:color w:val="auto"/>
                      <w:sz w:val="21"/>
                      <w:szCs w:val="21"/>
                      <w:lang w:val="en-US" w:eastAsia="zh-CN"/>
                    </w:rPr>
                    <w:t>0.1</w:t>
                  </w:r>
                  <w:r>
                    <w:rPr>
                      <w:rFonts w:hint="eastAsia" w:cs="Times New Roman"/>
                      <w:color w:val="auto"/>
                      <w:sz w:val="21"/>
                      <w:szCs w:val="21"/>
                      <w:lang w:val="en-US" w:eastAsia="zh-CN"/>
                    </w:rPr>
                    <w:t>58</w:t>
                  </w:r>
                  <w:r>
                    <w:rPr>
                      <w:rFonts w:ascii="Times New Roman" w:hAnsi="Times New Roman" w:cs="Times New Roman"/>
                      <w:color w:val="auto"/>
                      <w:sz w:val="21"/>
                      <w:szCs w:val="21"/>
                      <w:lang w:val="en-US" w:eastAsia="zh-CN"/>
                    </w:rPr>
                    <w:t>t/a，BOD</w:t>
                  </w:r>
                  <w:r>
                    <w:rPr>
                      <w:rFonts w:ascii="Times New Roman" w:hAnsi="Times New Roman" w:cs="Times New Roman"/>
                      <w:color w:val="auto"/>
                      <w:sz w:val="21"/>
                      <w:szCs w:val="21"/>
                      <w:vertAlign w:val="subscript"/>
                      <w:lang w:val="en-US" w:eastAsia="zh-CN"/>
                    </w:rPr>
                    <w:t>5</w:t>
                  </w:r>
                  <w:r>
                    <w:rPr>
                      <w:rFonts w:ascii="Times New Roman" w:hAnsi="Times New Roman" w:cs="Times New Roman"/>
                      <w:color w:val="auto"/>
                      <w:sz w:val="21"/>
                      <w:szCs w:val="21"/>
                      <w:lang w:val="en-US" w:eastAsia="zh-CN"/>
                    </w:rPr>
                    <w:t>：</w:t>
                  </w:r>
                  <w:r>
                    <w:rPr>
                      <w:rFonts w:hint="eastAsia" w:cs="Times New Roman"/>
                      <w:color w:val="auto"/>
                      <w:sz w:val="21"/>
                      <w:szCs w:val="21"/>
                      <w:lang w:val="en-US" w:eastAsia="zh-CN"/>
                    </w:rPr>
                    <w:t>0.102</w:t>
                  </w:r>
                  <w:r>
                    <w:rPr>
                      <w:rFonts w:ascii="Times New Roman" w:hAnsi="Times New Roman" w:cs="Times New Roman"/>
                      <w:color w:val="auto"/>
                      <w:sz w:val="21"/>
                      <w:szCs w:val="21"/>
                      <w:lang w:val="en-US" w:eastAsia="zh-CN"/>
                    </w:rPr>
                    <w:t>t/a</w:t>
                  </w:r>
                </w:p>
                <w:p>
                  <w:pPr>
                    <w:adjustRightInd w:val="0"/>
                    <w:snapToGrid w:val="0"/>
                    <w:jc w:val="center"/>
                    <w:rPr>
                      <w:rFonts w:ascii="Times New Roman" w:hAnsi="Times New Roman" w:cs="Times New Roman"/>
                      <w:color w:val="auto"/>
                      <w:sz w:val="21"/>
                      <w:szCs w:val="21"/>
                      <w:lang w:val="en-US" w:eastAsia="zh-CN"/>
                    </w:rPr>
                  </w:pPr>
                  <w:r>
                    <w:rPr>
                      <w:rFonts w:ascii="Times New Roman" w:hAnsi="Times New Roman" w:cs="Times New Roman"/>
                      <w:color w:val="auto"/>
                      <w:sz w:val="21"/>
                      <w:szCs w:val="21"/>
                      <w:lang w:val="en-US" w:eastAsia="zh-CN"/>
                    </w:rPr>
                    <w:t>SS：</w:t>
                  </w:r>
                  <w:r>
                    <w:rPr>
                      <w:rFonts w:hint="eastAsia" w:cs="Times New Roman"/>
                      <w:color w:val="auto"/>
                      <w:sz w:val="21"/>
                      <w:szCs w:val="21"/>
                      <w:lang w:val="en-US" w:eastAsia="zh-CN"/>
                    </w:rPr>
                    <w:t>0.107</w:t>
                  </w:r>
                  <w:r>
                    <w:rPr>
                      <w:rFonts w:hint="eastAsia" w:ascii="Times New Roman" w:cs="Times New Roman"/>
                      <w:color w:val="auto"/>
                      <w:sz w:val="21"/>
                      <w:szCs w:val="21"/>
                      <w:lang w:val="en-US" w:eastAsia="zh-CN"/>
                    </w:rPr>
                    <w:t>t/</w:t>
                  </w:r>
                  <w:r>
                    <w:rPr>
                      <w:rFonts w:ascii="Times New Roman" w:hAnsi="Times New Roman" w:cs="Times New Roman"/>
                      <w:color w:val="auto"/>
                      <w:sz w:val="21"/>
                      <w:szCs w:val="21"/>
                      <w:lang w:val="en-US" w:eastAsia="zh-CN"/>
                    </w:rPr>
                    <w:t>a</w:t>
                  </w:r>
                </w:p>
                <w:p>
                  <w:pPr>
                    <w:adjustRightInd w:val="0"/>
                    <w:snapToGrid w:val="0"/>
                    <w:jc w:val="center"/>
                    <w:rPr>
                      <w:color w:val="auto"/>
                      <w:szCs w:val="21"/>
                    </w:rPr>
                  </w:pPr>
                  <w:r>
                    <w:rPr>
                      <w:rFonts w:ascii="Times New Roman" w:hAnsi="Times New Roman" w:cs="Times New Roman"/>
                      <w:color w:val="auto"/>
                      <w:sz w:val="21"/>
                      <w:szCs w:val="21"/>
                      <w:lang w:val="en-US" w:eastAsia="zh-CN"/>
                    </w:rPr>
                    <w:t>氨氮：</w:t>
                  </w:r>
                  <w:r>
                    <w:rPr>
                      <w:rFonts w:hint="eastAsia" w:cs="Times New Roman"/>
                      <w:color w:val="auto"/>
                      <w:sz w:val="21"/>
                      <w:szCs w:val="21"/>
                      <w:lang w:val="en-US" w:eastAsia="zh-CN"/>
                    </w:rPr>
                    <w:t>0.009</w:t>
                  </w:r>
                  <w:r>
                    <w:rPr>
                      <w:rFonts w:ascii="Times New Roman" w:hAnsi="Times New Roman" w:cs="Times New Roman"/>
                      <w:color w:val="auto"/>
                      <w:sz w:val="21"/>
                      <w:szCs w:val="21"/>
                      <w:lang w:val="en-US" w:eastAsia="zh-CN"/>
                    </w:rPr>
                    <w:t>t/a</w:t>
                  </w:r>
                </w:p>
              </w:tc>
              <w:tc>
                <w:tcPr>
                  <w:tcW w:w="2293" w:type="dxa"/>
                  <w:vMerge w:val="restart"/>
                  <w:noWrap w:val="0"/>
                  <w:vAlign w:val="center"/>
                </w:tcPr>
                <w:p>
                  <w:pPr>
                    <w:adjustRightInd w:val="0"/>
                    <w:snapToGrid w:val="0"/>
                    <w:jc w:val="both"/>
                    <w:rPr>
                      <w:rFonts w:hint="eastAsia"/>
                      <w:color w:val="auto"/>
                      <w:szCs w:val="21"/>
                      <w:lang w:val="en-US" w:eastAsia="zh-CN"/>
                    </w:rPr>
                  </w:pPr>
                  <w:r>
                    <w:rPr>
                      <w:color w:val="auto"/>
                      <w:szCs w:val="21"/>
                    </w:rPr>
                    <w:t>监测点位：</w:t>
                  </w:r>
                  <w:r>
                    <w:rPr>
                      <w:rFonts w:hint="eastAsia"/>
                      <w:color w:val="auto"/>
                      <w:szCs w:val="21"/>
                      <w:lang w:val="en-US" w:eastAsia="zh-CN"/>
                    </w:rPr>
                    <w:t>污水排放口</w:t>
                  </w:r>
                </w:p>
                <w:p>
                  <w:pPr>
                    <w:adjustRightInd w:val="0"/>
                    <w:snapToGrid w:val="0"/>
                    <w:jc w:val="both"/>
                    <w:rPr>
                      <w:rFonts w:hint="default" w:eastAsia="宋体"/>
                      <w:color w:val="auto"/>
                      <w:szCs w:val="21"/>
                      <w:lang w:val="en-US" w:eastAsia="zh-CN"/>
                    </w:rPr>
                  </w:pPr>
                  <w:r>
                    <w:rPr>
                      <w:rFonts w:hint="eastAsia"/>
                      <w:color w:val="auto"/>
                      <w:szCs w:val="21"/>
                      <w:lang w:val="en-US" w:eastAsia="zh-CN"/>
                    </w:rPr>
                    <w:t>监测</w:t>
                  </w:r>
                  <w:r>
                    <w:rPr>
                      <w:color w:val="auto"/>
                      <w:szCs w:val="21"/>
                    </w:rPr>
                    <w:t>因子：</w:t>
                  </w:r>
                  <w:r>
                    <w:rPr>
                      <w:rFonts w:ascii="Times New Roman" w:hAnsi="Times New Roman" w:cs="Times New Roman"/>
                      <w:color w:val="auto"/>
                      <w:sz w:val="21"/>
                      <w:szCs w:val="21"/>
                      <w:lang w:val="en-US" w:eastAsia="zh-CN"/>
                    </w:rPr>
                    <w:t>COD</w:t>
                  </w:r>
                  <w:r>
                    <w:rPr>
                      <w:rFonts w:ascii="Times New Roman" w:hAnsi="Times New Roman" w:cs="Times New Roman"/>
                      <w:color w:val="auto"/>
                      <w:sz w:val="21"/>
                      <w:szCs w:val="21"/>
                      <w:vertAlign w:val="subscript"/>
                      <w:lang w:val="en-US" w:eastAsia="zh-CN"/>
                    </w:rPr>
                    <w:t>Cr</w:t>
                  </w:r>
                  <w:r>
                    <w:rPr>
                      <w:rFonts w:ascii="Times New Roman" w:hAnsi="Times New Roman" w:cs="Times New Roman"/>
                      <w:color w:val="auto"/>
                      <w:sz w:val="21"/>
                      <w:szCs w:val="21"/>
                      <w:lang w:val="en-US" w:eastAsia="zh-CN"/>
                    </w:rPr>
                    <w:t>，BOD</w:t>
                  </w:r>
                  <w:r>
                    <w:rPr>
                      <w:rFonts w:ascii="Times New Roman" w:hAnsi="Times New Roman" w:cs="Times New Roman"/>
                      <w:color w:val="auto"/>
                      <w:sz w:val="21"/>
                      <w:szCs w:val="21"/>
                      <w:vertAlign w:val="subscript"/>
                      <w:lang w:val="en-US" w:eastAsia="zh-CN"/>
                    </w:rPr>
                    <w:t>5</w:t>
                  </w:r>
                  <w:r>
                    <w:rPr>
                      <w:rFonts w:hint="eastAsia" w:cs="Times New Roman"/>
                      <w:color w:val="auto"/>
                      <w:sz w:val="21"/>
                      <w:szCs w:val="21"/>
                      <w:vertAlign w:val="baseline"/>
                      <w:lang w:val="en-US" w:eastAsia="zh-CN"/>
                    </w:rPr>
                    <w:t>、</w:t>
                  </w:r>
                  <w:r>
                    <w:rPr>
                      <w:rFonts w:ascii="Times New Roman" w:hAnsi="Times New Roman" w:cs="Times New Roman"/>
                      <w:color w:val="auto"/>
                      <w:sz w:val="21"/>
                      <w:szCs w:val="21"/>
                      <w:lang w:val="en-US" w:eastAsia="zh-CN"/>
                    </w:rPr>
                    <w:t>SS</w:t>
                  </w:r>
                  <w:r>
                    <w:rPr>
                      <w:rFonts w:hint="eastAsia" w:cs="Times New Roman"/>
                      <w:color w:val="auto"/>
                      <w:sz w:val="21"/>
                      <w:szCs w:val="21"/>
                      <w:lang w:val="en-US" w:eastAsia="zh-CN"/>
                    </w:rPr>
                    <w:t>、</w:t>
                  </w:r>
                  <w:r>
                    <w:rPr>
                      <w:rFonts w:ascii="Times New Roman" w:hAnsi="Times New Roman" w:cs="Times New Roman"/>
                      <w:color w:val="auto"/>
                      <w:sz w:val="21"/>
                      <w:szCs w:val="21"/>
                      <w:lang w:val="en-US" w:eastAsia="zh-CN"/>
                    </w:rPr>
                    <w:t>氨氮</w:t>
                  </w:r>
                </w:p>
                <w:p>
                  <w:pPr>
                    <w:pStyle w:val="2"/>
                    <w:ind w:left="0" w:leftChars="0" w:firstLine="0" w:firstLineChars="0"/>
                    <w:rPr>
                      <w:rFonts w:hint="default" w:eastAsia="宋体"/>
                      <w:lang w:val="en-US" w:eastAsia="zh-CN"/>
                    </w:rPr>
                  </w:pPr>
                  <w:r>
                    <w:rPr>
                      <w:color w:val="auto"/>
                      <w:szCs w:val="21"/>
                    </w:rPr>
                    <w:t>监测频次：半年一次</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617" w:hRule="atLeast"/>
                <w:jc w:val="center"/>
              </w:trPr>
              <w:tc>
                <w:tcPr>
                  <w:tcW w:w="662" w:type="dxa"/>
                  <w:vMerge w:val="continue"/>
                  <w:noWrap w:val="0"/>
                  <w:vAlign w:val="center"/>
                </w:tcPr>
                <w:p>
                  <w:pPr>
                    <w:adjustRightInd w:val="0"/>
                    <w:snapToGrid w:val="0"/>
                    <w:jc w:val="center"/>
                    <w:rPr>
                      <w:color w:val="auto"/>
                      <w:szCs w:val="21"/>
                    </w:rPr>
                  </w:pPr>
                </w:p>
              </w:tc>
              <w:tc>
                <w:tcPr>
                  <w:tcW w:w="1438" w:type="dxa"/>
                  <w:noWrap w:val="0"/>
                  <w:vAlign w:val="center"/>
                </w:tcPr>
                <w:p>
                  <w:pPr>
                    <w:adjustRightInd w:val="0"/>
                    <w:snapToGrid w:val="0"/>
                    <w:jc w:val="center"/>
                    <w:rPr>
                      <w:color w:val="auto"/>
                      <w:szCs w:val="21"/>
                    </w:rPr>
                  </w:pPr>
                  <w:r>
                    <w:rPr>
                      <w:color w:val="auto"/>
                      <w:szCs w:val="21"/>
                    </w:rPr>
                    <w:t>生活</w:t>
                  </w:r>
                </w:p>
              </w:tc>
              <w:tc>
                <w:tcPr>
                  <w:tcW w:w="1142" w:type="dxa"/>
                  <w:vMerge w:val="continue"/>
                  <w:noWrap w:val="0"/>
                  <w:vAlign w:val="center"/>
                </w:tcPr>
                <w:p>
                  <w:pPr>
                    <w:autoSpaceDE w:val="0"/>
                    <w:autoSpaceDN w:val="0"/>
                    <w:adjustRightInd w:val="0"/>
                    <w:snapToGrid w:val="0"/>
                    <w:rPr>
                      <w:color w:val="auto"/>
                      <w:kern w:val="0"/>
                      <w:szCs w:val="21"/>
                    </w:rPr>
                  </w:pPr>
                </w:p>
              </w:tc>
              <w:tc>
                <w:tcPr>
                  <w:tcW w:w="2067" w:type="dxa"/>
                  <w:noWrap w:val="0"/>
                  <w:vAlign w:val="center"/>
                </w:tcPr>
                <w:p>
                  <w:pPr>
                    <w:adjustRightInd w:val="0"/>
                    <w:snapToGrid w:val="0"/>
                    <w:jc w:val="center"/>
                    <w:rPr>
                      <w:rFonts w:hint="eastAsia" w:eastAsia="宋体"/>
                      <w:color w:val="auto"/>
                      <w:szCs w:val="21"/>
                      <w:lang w:val="en-US" w:eastAsia="zh-CN"/>
                    </w:rPr>
                  </w:pPr>
                  <w:r>
                    <w:rPr>
                      <w:rFonts w:hint="eastAsia"/>
                      <w:color w:val="auto"/>
                      <w:szCs w:val="21"/>
                      <w:lang w:val="en-US" w:eastAsia="zh-CN"/>
                    </w:rPr>
                    <w:t>厂区</w:t>
                  </w:r>
                  <w:r>
                    <w:rPr>
                      <w:color w:val="auto"/>
                      <w:szCs w:val="21"/>
                    </w:rPr>
                    <w:t>化粪池</w:t>
                  </w:r>
                  <w:r>
                    <w:rPr>
                      <w:rFonts w:hint="eastAsia"/>
                      <w:color w:val="auto"/>
                      <w:szCs w:val="21"/>
                      <w:lang w:val="en-US" w:eastAsia="zh-CN"/>
                    </w:rPr>
                    <w:t>处理</w:t>
                  </w:r>
                </w:p>
              </w:tc>
              <w:tc>
                <w:tcPr>
                  <w:tcW w:w="2191" w:type="dxa"/>
                  <w:vMerge w:val="continue"/>
                  <w:noWrap w:val="0"/>
                  <w:vAlign w:val="center"/>
                </w:tcPr>
                <w:p>
                  <w:pPr>
                    <w:adjustRightInd w:val="0"/>
                    <w:snapToGrid w:val="0"/>
                    <w:jc w:val="center"/>
                    <w:rPr>
                      <w:color w:val="auto"/>
                      <w:kern w:val="0"/>
                      <w:szCs w:val="21"/>
                    </w:rPr>
                  </w:pPr>
                </w:p>
              </w:tc>
              <w:tc>
                <w:tcPr>
                  <w:tcW w:w="2059" w:type="dxa"/>
                  <w:vMerge w:val="continue"/>
                  <w:noWrap w:val="0"/>
                  <w:vAlign w:val="center"/>
                </w:tcPr>
                <w:p>
                  <w:pPr>
                    <w:adjustRightInd w:val="0"/>
                    <w:snapToGrid w:val="0"/>
                    <w:rPr>
                      <w:color w:val="auto"/>
                      <w:szCs w:val="21"/>
                    </w:rPr>
                  </w:pPr>
                </w:p>
              </w:tc>
              <w:tc>
                <w:tcPr>
                  <w:tcW w:w="1300" w:type="dxa"/>
                  <w:vMerge w:val="continue"/>
                  <w:noWrap w:val="0"/>
                  <w:vAlign w:val="center"/>
                </w:tcPr>
                <w:p>
                  <w:pPr>
                    <w:adjustRightInd w:val="0"/>
                    <w:snapToGrid w:val="0"/>
                    <w:jc w:val="center"/>
                    <w:rPr>
                      <w:color w:val="auto"/>
                      <w:szCs w:val="21"/>
                    </w:rPr>
                  </w:pPr>
                </w:p>
              </w:tc>
              <w:tc>
                <w:tcPr>
                  <w:tcW w:w="2293" w:type="dxa"/>
                  <w:vMerge w:val="continue"/>
                  <w:noWrap w:val="0"/>
                  <w:vAlign w:val="center"/>
                </w:tcPr>
                <w:p>
                  <w:pPr>
                    <w:adjustRightInd w:val="0"/>
                    <w:snapToGrid w:val="0"/>
                    <w:jc w:val="center"/>
                    <w:rPr>
                      <w:color w:val="auto"/>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1779" w:hRule="atLeast"/>
                <w:jc w:val="center"/>
              </w:trPr>
              <w:tc>
                <w:tcPr>
                  <w:tcW w:w="662" w:type="dxa"/>
                  <w:noWrap w:val="0"/>
                  <w:vAlign w:val="center"/>
                </w:tcPr>
                <w:p>
                  <w:pPr>
                    <w:adjustRightInd w:val="0"/>
                    <w:snapToGrid w:val="0"/>
                    <w:jc w:val="center"/>
                    <w:rPr>
                      <w:color w:val="auto"/>
                      <w:szCs w:val="21"/>
                    </w:rPr>
                  </w:pPr>
                  <w:r>
                    <w:rPr>
                      <w:color w:val="auto"/>
                      <w:szCs w:val="21"/>
                    </w:rPr>
                    <w:t>噪声</w:t>
                  </w:r>
                </w:p>
              </w:tc>
              <w:tc>
                <w:tcPr>
                  <w:tcW w:w="1438" w:type="dxa"/>
                  <w:noWrap w:val="0"/>
                  <w:vAlign w:val="center"/>
                </w:tcPr>
                <w:p>
                  <w:pPr>
                    <w:adjustRightInd w:val="0"/>
                    <w:snapToGrid w:val="0"/>
                    <w:jc w:val="center"/>
                    <w:rPr>
                      <w:color w:val="auto"/>
                      <w:szCs w:val="21"/>
                    </w:rPr>
                  </w:pPr>
                  <w:r>
                    <w:rPr>
                      <w:rFonts w:hint="eastAsia"/>
                      <w:color w:val="auto"/>
                      <w:szCs w:val="21"/>
                      <w:lang w:val="en-US" w:eastAsia="zh-CN"/>
                    </w:rPr>
                    <w:t>生产</w:t>
                  </w:r>
                  <w:r>
                    <w:rPr>
                      <w:color w:val="auto"/>
                      <w:szCs w:val="21"/>
                    </w:rPr>
                    <w:t>设备</w:t>
                  </w:r>
                  <w:r>
                    <w:rPr>
                      <w:rFonts w:hint="eastAsia"/>
                      <w:color w:val="auto"/>
                      <w:szCs w:val="21"/>
                      <w:lang w:eastAsia="zh-CN"/>
                    </w:rPr>
                    <w:t>、</w:t>
                  </w:r>
                  <w:r>
                    <w:rPr>
                      <w:rFonts w:hint="eastAsia"/>
                      <w:color w:val="auto"/>
                      <w:szCs w:val="21"/>
                      <w:lang w:val="en-US" w:eastAsia="zh-CN"/>
                    </w:rPr>
                    <w:t>泵类</w:t>
                  </w:r>
                  <w:r>
                    <w:rPr>
                      <w:color w:val="auto"/>
                      <w:szCs w:val="21"/>
                    </w:rPr>
                    <w:t>运行</w:t>
                  </w:r>
                </w:p>
              </w:tc>
              <w:tc>
                <w:tcPr>
                  <w:tcW w:w="1142" w:type="dxa"/>
                  <w:noWrap w:val="0"/>
                  <w:vAlign w:val="center"/>
                </w:tcPr>
                <w:p>
                  <w:pPr>
                    <w:adjustRightInd w:val="0"/>
                    <w:snapToGrid w:val="0"/>
                    <w:jc w:val="center"/>
                    <w:rPr>
                      <w:color w:val="auto"/>
                      <w:szCs w:val="21"/>
                    </w:rPr>
                  </w:pPr>
                  <w:r>
                    <w:rPr>
                      <w:color w:val="auto"/>
                      <w:szCs w:val="21"/>
                    </w:rPr>
                    <w:t>噪声</w:t>
                  </w:r>
                </w:p>
              </w:tc>
              <w:tc>
                <w:tcPr>
                  <w:tcW w:w="2067" w:type="dxa"/>
                  <w:noWrap w:val="0"/>
                  <w:vAlign w:val="center"/>
                </w:tcPr>
                <w:p>
                  <w:pPr>
                    <w:adjustRightInd w:val="0"/>
                    <w:snapToGrid w:val="0"/>
                    <w:jc w:val="center"/>
                    <w:rPr>
                      <w:color w:val="auto"/>
                      <w:szCs w:val="21"/>
                    </w:rPr>
                  </w:pPr>
                  <w:r>
                    <w:rPr>
                      <w:color w:val="auto"/>
                      <w:szCs w:val="21"/>
                    </w:rPr>
                    <w:t>基础减振、隔声</w:t>
                  </w:r>
                </w:p>
              </w:tc>
              <w:tc>
                <w:tcPr>
                  <w:tcW w:w="2191" w:type="dxa"/>
                  <w:noWrap w:val="0"/>
                  <w:vAlign w:val="center"/>
                </w:tcPr>
                <w:p>
                  <w:pPr>
                    <w:adjustRightInd w:val="0"/>
                    <w:snapToGrid w:val="0"/>
                    <w:jc w:val="center"/>
                    <w:rPr>
                      <w:color w:val="auto"/>
                      <w:szCs w:val="21"/>
                    </w:rPr>
                  </w:pPr>
                  <w:r>
                    <w:rPr>
                      <w:color w:val="auto"/>
                      <w:szCs w:val="21"/>
                    </w:rPr>
                    <w:t>/</w:t>
                  </w:r>
                </w:p>
              </w:tc>
              <w:tc>
                <w:tcPr>
                  <w:tcW w:w="2059" w:type="dxa"/>
                  <w:noWrap w:val="0"/>
                  <w:vAlign w:val="center"/>
                </w:tcPr>
                <w:p>
                  <w:pPr>
                    <w:adjustRightInd w:val="0"/>
                    <w:snapToGrid w:val="0"/>
                    <w:rPr>
                      <w:color w:val="auto"/>
                      <w:szCs w:val="21"/>
                    </w:rPr>
                  </w:pPr>
                  <w:r>
                    <w:rPr>
                      <w:bCs/>
                      <w:color w:val="auto"/>
                      <w:szCs w:val="21"/>
                    </w:rPr>
                    <w:t>《工业企业厂界环境噪声排放标准》（GB12348-2008）中</w:t>
                  </w:r>
                  <w:r>
                    <w:rPr>
                      <w:rFonts w:hint="eastAsia"/>
                      <w:bCs/>
                      <w:color w:val="auto"/>
                      <w:szCs w:val="21"/>
                      <w:lang w:val="en-US" w:eastAsia="zh-CN"/>
                    </w:rPr>
                    <w:t>3</w:t>
                  </w:r>
                  <w:r>
                    <w:rPr>
                      <w:bCs/>
                      <w:color w:val="auto"/>
                      <w:szCs w:val="21"/>
                    </w:rPr>
                    <w:t>类标准</w:t>
                  </w:r>
                </w:p>
              </w:tc>
              <w:tc>
                <w:tcPr>
                  <w:tcW w:w="1300" w:type="dxa"/>
                  <w:noWrap w:val="0"/>
                  <w:vAlign w:val="center"/>
                </w:tcPr>
                <w:p>
                  <w:pPr>
                    <w:adjustRightInd w:val="0"/>
                    <w:snapToGrid w:val="0"/>
                    <w:jc w:val="center"/>
                    <w:rPr>
                      <w:color w:val="auto"/>
                      <w:szCs w:val="21"/>
                    </w:rPr>
                  </w:pPr>
                  <w:r>
                    <w:rPr>
                      <w:color w:val="auto"/>
                      <w:szCs w:val="21"/>
                    </w:rPr>
                    <w:t>/</w:t>
                  </w:r>
                </w:p>
              </w:tc>
              <w:tc>
                <w:tcPr>
                  <w:tcW w:w="2293" w:type="dxa"/>
                  <w:noWrap w:val="0"/>
                  <w:vAlign w:val="center"/>
                </w:tcPr>
                <w:p>
                  <w:pPr>
                    <w:adjustRightInd w:val="0"/>
                    <w:snapToGrid w:val="0"/>
                    <w:jc w:val="center"/>
                    <w:rPr>
                      <w:color w:val="auto"/>
                      <w:szCs w:val="21"/>
                    </w:rPr>
                  </w:pPr>
                  <w:r>
                    <w:rPr>
                      <w:color w:val="auto"/>
                      <w:szCs w:val="21"/>
                    </w:rPr>
                    <w:t>监测点位：厂界</w:t>
                  </w:r>
                </w:p>
                <w:p>
                  <w:pPr>
                    <w:adjustRightInd w:val="0"/>
                    <w:snapToGrid w:val="0"/>
                    <w:jc w:val="center"/>
                    <w:rPr>
                      <w:color w:val="auto"/>
                      <w:szCs w:val="21"/>
                    </w:rPr>
                  </w:pPr>
                  <w:r>
                    <w:rPr>
                      <w:color w:val="auto"/>
                      <w:szCs w:val="21"/>
                    </w:rPr>
                    <w:t xml:space="preserve">监测因子：噪声 </w:t>
                  </w:r>
                </w:p>
                <w:p>
                  <w:pPr>
                    <w:adjustRightInd w:val="0"/>
                    <w:snapToGrid w:val="0"/>
                    <w:jc w:val="center"/>
                    <w:rPr>
                      <w:color w:val="auto"/>
                      <w:szCs w:val="21"/>
                    </w:rPr>
                  </w:pPr>
                  <w:r>
                    <w:rPr>
                      <w:color w:val="auto"/>
                      <w:szCs w:val="21"/>
                    </w:rPr>
                    <w:t>监测频次：季度一次</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1461" w:hRule="atLeast"/>
                <w:jc w:val="center"/>
              </w:trPr>
              <w:tc>
                <w:tcPr>
                  <w:tcW w:w="662" w:type="dxa"/>
                  <w:vMerge w:val="restart"/>
                  <w:noWrap w:val="0"/>
                  <w:vAlign w:val="center"/>
                </w:tcPr>
                <w:p>
                  <w:pPr>
                    <w:adjustRightInd w:val="0"/>
                    <w:snapToGrid w:val="0"/>
                    <w:jc w:val="center"/>
                    <w:rPr>
                      <w:color w:val="auto"/>
                      <w:szCs w:val="21"/>
                    </w:rPr>
                  </w:pPr>
                  <w:r>
                    <w:rPr>
                      <w:color w:val="auto"/>
                      <w:szCs w:val="21"/>
                    </w:rPr>
                    <w:t>固废</w:t>
                  </w:r>
                </w:p>
              </w:tc>
              <w:tc>
                <w:tcPr>
                  <w:tcW w:w="1438" w:type="dxa"/>
                  <w:noWrap w:val="0"/>
                  <w:vAlign w:val="center"/>
                </w:tcPr>
                <w:p>
                  <w:pPr>
                    <w:adjustRightInd w:val="0"/>
                    <w:snapToGrid w:val="0"/>
                    <w:jc w:val="center"/>
                    <w:rPr>
                      <w:color w:val="auto"/>
                      <w:szCs w:val="21"/>
                    </w:rPr>
                  </w:pPr>
                  <w:r>
                    <w:rPr>
                      <w:bCs/>
                      <w:color w:val="auto"/>
                      <w:szCs w:val="21"/>
                    </w:rPr>
                    <w:t>生产</w:t>
                  </w:r>
                  <w:r>
                    <w:rPr>
                      <w:color w:val="auto"/>
                      <w:szCs w:val="21"/>
                    </w:rPr>
                    <w:t>车间</w:t>
                  </w:r>
                </w:p>
              </w:tc>
              <w:tc>
                <w:tcPr>
                  <w:tcW w:w="1142" w:type="dxa"/>
                  <w:noWrap w:val="0"/>
                  <w:vAlign w:val="center"/>
                </w:tcPr>
                <w:p>
                  <w:pPr>
                    <w:jc w:val="center"/>
                    <w:rPr>
                      <w:rFonts w:hint="default" w:eastAsia="宋体"/>
                      <w:color w:val="auto"/>
                      <w:szCs w:val="21"/>
                      <w:lang w:val="en-US" w:eastAsia="zh-CN"/>
                    </w:rPr>
                  </w:pPr>
                  <w:r>
                    <w:rPr>
                      <w:rFonts w:hint="eastAsia"/>
                      <w:color w:val="auto"/>
                      <w:szCs w:val="21"/>
                      <w:lang w:val="en-US" w:eastAsia="zh-CN"/>
                    </w:rPr>
                    <w:t>植物残渣</w:t>
                  </w:r>
                </w:p>
              </w:tc>
              <w:tc>
                <w:tcPr>
                  <w:tcW w:w="2067" w:type="dxa"/>
                  <w:noWrap w:val="0"/>
                  <w:vAlign w:val="center"/>
                </w:tcPr>
                <w:p>
                  <w:pPr>
                    <w:rPr>
                      <w:rFonts w:hint="eastAsia" w:eastAsia="宋体"/>
                      <w:color w:val="auto"/>
                      <w:szCs w:val="21"/>
                      <w:lang w:val="en-US" w:eastAsia="zh-CN"/>
                    </w:rPr>
                  </w:pPr>
                  <w:r>
                    <w:rPr>
                      <w:rFonts w:hint="eastAsia"/>
                      <w:color w:val="auto"/>
                      <w:szCs w:val="21"/>
                      <w:lang w:val="en-US" w:eastAsia="zh-CN"/>
                    </w:rPr>
                    <w:t>由</w:t>
                  </w:r>
                  <w:r>
                    <w:rPr>
                      <w:rFonts w:hint="eastAsia" w:ascii="宋体" w:hAnsi="宋体" w:cs="宋体"/>
                      <w:spacing w:val="2"/>
                      <w:sz w:val="21"/>
                      <w:szCs w:val="21"/>
                      <w:lang w:val="en-US" w:eastAsia="zh-CN"/>
                    </w:rPr>
                    <w:t>相关食品单位回收利用</w:t>
                  </w:r>
                </w:p>
              </w:tc>
              <w:tc>
                <w:tcPr>
                  <w:tcW w:w="2191" w:type="dxa"/>
                  <w:noWrap w:val="0"/>
                  <w:vAlign w:val="center"/>
                </w:tcPr>
                <w:p>
                  <w:pPr>
                    <w:jc w:val="center"/>
                    <w:rPr>
                      <w:color w:val="auto"/>
                      <w:szCs w:val="21"/>
                    </w:rPr>
                  </w:pPr>
                  <w:r>
                    <w:rPr>
                      <w:color w:val="auto"/>
                      <w:szCs w:val="21"/>
                    </w:rPr>
                    <w:t>/</w:t>
                  </w:r>
                </w:p>
              </w:tc>
              <w:tc>
                <w:tcPr>
                  <w:tcW w:w="2059" w:type="dxa"/>
                  <w:noWrap w:val="0"/>
                  <w:vAlign w:val="center"/>
                </w:tcPr>
                <w:p>
                  <w:pPr>
                    <w:adjustRightInd w:val="0"/>
                    <w:snapToGrid w:val="0"/>
                    <w:rPr>
                      <w:color w:val="auto"/>
                      <w:szCs w:val="21"/>
                    </w:rPr>
                  </w:pPr>
                  <w:r>
                    <w:rPr>
                      <w:rFonts w:hint="eastAsia" w:ascii="宋体" w:hAnsi="宋体" w:cs="宋体"/>
                      <w:spacing w:val="-2"/>
                      <w:sz w:val="21"/>
                      <w:szCs w:val="21"/>
                      <w:lang w:val="en-US" w:eastAsia="zh-CN"/>
                    </w:rPr>
                    <w:t>《一般工业固体废物贮存、处理</w:t>
                  </w:r>
                  <w:r>
                    <w:rPr>
                      <w:rFonts w:hint="default" w:ascii="Times New Roman" w:hAnsi="Times New Roman" w:cs="Times New Roman"/>
                      <w:spacing w:val="-2"/>
                      <w:sz w:val="21"/>
                      <w:szCs w:val="21"/>
                      <w:lang w:val="en-US" w:eastAsia="zh-CN"/>
                    </w:rPr>
                    <w:t>场污染控制标准》（GB18599-2001）及其修改单要求</w:t>
                  </w:r>
                </w:p>
              </w:tc>
              <w:tc>
                <w:tcPr>
                  <w:tcW w:w="1300" w:type="dxa"/>
                  <w:vMerge w:val="restart"/>
                  <w:noWrap w:val="0"/>
                  <w:vAlign w:val="center"/>
                </w:tcPr>
                <w:p>
                  <w:pPr>
                    <w:adjustRightInd w:val="0"/>
                    <w:snapToGrid w:val="0"/>
                    <w:jc w:val="center"/>
                    <w:rPr>
                      <w:color w:val="auto"/>
                      <w:szCs w:val="21"/>
                    </w:rPr>
                  </w:pPr>
                  <w:r>
                    <w:rPr>
                      <w:color w:val="auto"/>
                      <w:szCs w:val="21"/>
                    </w:rPr>
                    <w:t>0</w:t>
                  </w:r>
                </w:p>
              </w:tc>
              <w:tc>
                <w:tcPr>
                  <w:tcW w:w="2293" w:type="dxa"/>
                  <w:vMerge w:val="restart"/>
                  <w:noWrap w:val="0"/>
                  <w:vAlign w:val="center"/>
                </w:tcPr>
                <w:p>
                  <w:pPr>
                    <w:adjustRightInd w:val="0"/>
                    <w:snapToGrid w:val="0"/>
                    <w:jc w:val="center"/>
                    <w:rPr>
                      <w:rFonts w:hint="default" w:eastAsia="宋体"/>
                      <w:color w:val="auto"/>
                      <w:kern w:val="0"/>
                      <w:szCs w:val="21"/>
                      <w:lang w:val="en-US" w:eastAsia="zh-CN"/>
                    </w:rPr>
                  </w:pPr>
                  <w:r>
                    <w:rPr>
                      <w:rFonts w:hint="eastAsia"/>
                      <w:color w:val="auto"/>
                      <w:kern w:val="0"/>
                      <w:szCs w:val="21"/>
                      <w:lang w:val="en-US" w:eastAsia="zh-CN"/>
                    </w:rPr>
                    <w:t>检查储存方式、处理去向</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185" w:hRule="atLeast"/>
                <w:jc w:val="center"/>
              </w:trPr>
              <w:tc>
                <w:tcPr>
                  <w:tcW w:w="662" w:type="dxa"/>
                  <w:vMerge w:val="continue"/>
                  <w:noWrap w:val="0"/>
                  <w:vAlign w:val="center"/>
                </w:tcPr>
                <w:p>
                  <w:pPr>
                    <w:adjustRightInd w:val="0"/>
                    <w:snapToGrid w:val="0"/>
                    <w:jc w:val="center"/>
                    <w:rPr>
                      <w:color w:val="auto"/>
                      <w:szCs w:val="21"/>
                    </w:rPr>
                  </w:pPr>
                </w:p>
              </w:tc>
              <w:tc>
                <w:tcPr>
                  <w:tcW w:w="1438" w:type="dxa"/>
                  <w:noWrap w:val="0"/>
                  <w:vAlign w:val="center"/>
                </w:tcPr>
                <w:p>
                  <w:pPr>
                    <w:adjustRightInd w:val="0"/>
                    <w:snapToGrid w:val="0"/>
                    <w:jc w:val="center"/>
                    <w:rPr>
                      <w:rFonts w:hint="default" w:eastAsia="宋体"/>
                      <w:color w:val="auto"/>
                      <w:szCs w:val="21"/>
                      <w:lang w:val="en-US" w:eastAsia="zh-CN"/>
                    </w:rPr>
                  </w:pPr>
                  <w:r>
                    <w:rPr>
                      <w:rFonts w:hint="eastAsia"/>
                      <w:color w:val="auto"/>
                      <w:szCs w:val="21"/>
                      <w:lang w:val="en-US" w:eastAsia="zh-CN"/>
                    </w:rPr>
                    <w:t>生产</w:t>
                  </w:r>
                </w:p>
              </w:tc>
              <w:tc>
                <w:tcPr>
                  <w:tcW w:w="1142" w:type="dxa"/>
                  <w:noWrap w:val="0"/>
                  <w:vAlign w:val="center"/>
                </w:tcPr>
                <w:p>
                  <w:pPr>
                    <w:adjustRightInd w:val="0"/>
                    <w:snapToGrid w:val="0"/>
                    <w:jc w:val="center"/>
                    <w:rPr>
                      <w:snapToGrid w:val="0"/>
                      <w:color w:val="auto"/>
                      <w:kern w:val="0"/>
                      <w:szCs w:val="21"/>
                    </w:rPr>
                  </w:pPr>
                  <w:r>
                    <w:rPr>
                      <w:rFonts w:hint="eastAsia"/>
                      <w:color w:val="auto"/>
                      <w:szCs w:val="21"/>
                      <w:lang w:val="en-US" w:eastAsia="zh-CN"/>
                    </w:rPr>
                    <w:t>不合格原料</w:t>
                  </w:r>
                </w:p>
              </w:tc>
              <w:tc>
                <w:tcPr>
                  <w:tcW w:w="2067" w:type="dxa"/>
                  <w:vMerge w:val="restart"/>
                  <w:noWrap w:val="0"/>
                  <w:vAlign w:val="center"/>
                </w:tcPr>
                <w:p>
                  <w:pPr>
                    <w:adjustRightInd w:val="0"/>
                    <w:snapToGrid w:val="0"/>
                    <w:jc w:val="center"/>
                    <w:rPr>
                      <w:color w:val="auto"/>
                      <w:szCs w:val="21"/>
                    </w:rPr>
                  </w:pPr>
                  <w:r>
                    <w:rPr>
                      <w:color w:val="auto"/>
                      <w:szCs w:val="21"/>
                    </w:rPr>
                    <w:t>环卫部门定期清运</w:t>
                  </w:r>
                </w:p>
              </w:tc>
              <w:tc>
                <w:tcPr>
                  <w:tcW w:w="2191" w:type="dxa"/>
                  <w:vMerge w:val="restart"/>
                  <w:noWrap w:val="0"/>
                  <w:vAlign w:val="center"/>
                </w:tcPr>
                <w:p>
                  <w:pPr>
                    <w:adjustRightInd w:val="0"/>
                    <w:snapToGrid w:val="0"/>
                    <w:jc w:val="center"/>
                    <w:rPr>
                      <w:color w:val="auto"/>
                      <w:szCs w:val="21"/>
                    </w:rPr>
                  </w:pPr>
                  <w:r>
                    <w:rPr>
                      <w:color w:val="auto"/>
                      <w:szCs w:val="21"/>
                    </w:rPr>
                    <w:t>/</w:t>
                  </w:r>
                </w:p>
              </w:tc>
              <w:tc>
                <w:tcPr>
                  <w:tcW w:w="2059" w:type="dxa"/>
                  <w:vMerge w:val="restart"/>
                  <w:noWrap w:val="0"/>
                  <w:vAlign w:val="center"/>
                </w:tcPr>
                <w:p>
                  <w:pPr>
                    <w:adjustRightInd w:val="0"/>
                    <w:snapToGrid w:val="0"/>
                    <w:rPr>
                      <w:color w:val="auto"/>
                      <w:szCs w:val="21"/>
                    </w:rPr>
                  </w:pPr>
                  <w:r>
                    <w:rPr>
                      <w:color w:val="auto"/>
                      <w:szCs w:val="21"/>
                    </w:rPr>
                    <w:t>《中华人民共和国固体废物污染环境防治法》</w:t>
                  </w:r>
                </w:p>
              </w:tc>
              <w:tc>
                <w:tcPr>
                  <w:tcW w:w="1300" w:type="dxa"/>
                  <w:vMerge w:val="continue"/>
                  <w:noWrap w:val="0"/>
                  <w:vAlign w:val="center"/>
                </w:tcPr>
                <w:p>
                  <w:pPr>
                    <w:adjustRightInd w:val="0"/>
                    <w:snapToGrid w:val="0"/>
                    <w:jc w:val="center"/>
                    <w:rPr>
                      <w:color w:val="auto"/>
                      <w:szCs w:val="21"/>
                    </w:rPr>
                  </w:pPr>
                </w:p>
              </w:tc>
              <w:tc>
                <w:tcPr>
                  <w:tcW w:w="2293" w:type="dxa"/>
                  <w:vMerge w:val="continue"/>
                  <w:noWrap w:val="0"/>
                  <w:vAlign w:val="center"/>
                </w:tcPr>
                <w:p>
                  <w:pPr>
                    <w:adjustRightInd w:val="0"/>
                    <w:snapToGrid w:val="0"/>
                    <w:jc w:val="center"/>
                    <w:rPr>
                      <w:color w:val="auto"/>
                      <w:kern w:val="0"/>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662" w:type="dxa"/>
                  <w:vMerge w:val="continue"/>
                  <w:noWrap w:val="0"/>
                  <w:vAlign w:val="center"/>
                </w:tcPr>
                <w:p>
                  <w:pPr>
                    <w:adjustRightInd w:val="0"/>
                    <w:snapToGrid w:val="0"/>
                    <w:jc w:val="center"/>
                    <w:rPr>
                      <w:color w:val="auto"/>
                      <w:szCs w:val="21"/>
                    </w:rPr>
                  </w:pPr>
                </w:p>
              </w:tc>
              <w:tc>
                <w:tcPr>
                  <w:tcW w:w="1438" w:type="dxa"/>
                  <w:noWrap w:val="0"/>
                  <w:vAlign w:val="center"/>
                </w:tcPr>
                <w:p>
                  <w:pPr>
                    <w:adjustRightInd w:val="0"/>
                    <w:snapToGrid w:val="0"/>
                    <w:jc w:val="center"/>
                    <w:rPr>
                      <w:rFonts w:hint="eastAsia"/>
                      <w:color w:val="auto"/>
                      <w:szCs w:val="21"/>
                      <w:lang w:val="en-US" w:eastAsia="zh-CN"/>
                    </w:rPr>
                  </w:pPr>
                  <w:r>
                    <w:rPr>
                      <w:rFonts w:hint="eastAsia"/>
                      <w:color w:val="auto"/>
                      <w:szCs w:val="21"/>
                      <w:lang w:val="en-US" w:eastAsia="zh-CN"/>
                    </w:rPr>
                    <w:t>污水处理</w:t>
                  </w:r>
                </w:p>
              </w:tc>
              <w:tc>
                <w:tcPr>
                  <w:tcW w:w="1142" w:type="dxa"/>
                  <w:noWrap w:val="0"/>
                  <w:vAlign w:val="center"/>
                </w:tcPr>
                <w:p>
                  <w:pPr>
                    <w:adjustRightInd w:val="0"/>
                    <w:snapToGrid w:val="0"/>
                    <w:jc w:val="center"/>
                    <w:rPr>
                      <w:rFonts w:hint="eastAsia"/>
                      <w:color w:val="auto"/>
                      <w:szCs w:val="21"/>
                      <w:lang w:val="en-US" w:eastAsia="zh-CN"/>
                    </w:rPr>
                  </w:pPr>
                  <w:r>
                    <w:rPr>
                      <w:rFonts w:hint="eastAsia"/>
                      <w:color w:val="auto"/>
                      <w:szCs w:val="21"/>
                      <w:lang w:val="en-US" w:eastAsia="zh-CN"/>
                    </w:rPr>
                    <w:t>污水处理污泥</w:t>
                  </w:r>
                </w:p>
              </w:tc>
              <w:tc>
                <w:tcPr>
                  <w:tcW w:w="2067" w:type="dxa"/>
                  <w:vMerge w:val="continue"/>
                  <w:noWrap w:val="0"/>
                  <w:vAlign w:val="center"/>
                </w:tcPr>
                <w:p>
                  <w:pPr>
                    <w:adjustRightInd w:val="0"/>
                    <w:snapToGrid w:val="0"/>
                    <w:jc w:val="center"/>
                    <w:rPr>
                      <w:color w:val="auto"/>
                      <w:szCs w:val="21"/>
                    </w:rPr>
                  </w:pPr>
                </w:p>
              </w:tc>
              <w:tc>
                <w:tcPr>
                  <w:tcW w:w="2191" w:type="dxa"/>
                  <w:vMerge w:val="continue"/>
                  <w:noWrap w:val="0"/>
                  <w:vAlign w:val="center"/>
                </w:tcPr>
                <w:p>
                  <w:pPr>
                    <w:adjustRightInd w:val="0"/>
                    <w:snapToGrid w:val="0"/>
                    <w:jc w:val="center"/>
                    <w:rPr>
                      <w:color w:val="auto"/>
                      <w:szCs w:val="21"/>
                    </w:rPr>
                  </w:pPr>
                </w:p>
              </w:tc>
              <w:tc>
                <w:tcPr>
                  <w:tcW w:w="2059" w:type="dxa"/>
                  <w:vMerge w:val="continue"/>
                  <w:noWrap w:val="0"/>
                  <w:vAlign w:val="center"/>
                </w:tcPr>
                <w:p>
                  <w:pPr>
                    <w:adjustRightInd w:val="0"/>
                    <w:snapToGrid w:val="0"/>
                    <w:rPr>
                      <w:color w:val="auto"/>
                      <w:szCs w:val="21"/>
                    </w:rPr>
                  </w:pPr>
                </w:p>
              </w:tc>
              <w:tc>
                <w:tcPr>
                  <w:tcW w:w="1300" w:type="dxa"/>
                  <w:vMerge w:val="continue"/>
                  <w:noWrap w:val="0"/>
                  <w:vAlign w:val="center"/>
                </w:tcPr>
                <w:p>
                  <w:pPr>
                    <w:adjustRightInd w:val="0"/>
                    <w:snapToGrid w:val="0"/>
                    <w:jc w:val="center"/>
                    <w:rPr>
                      <w:color w:val="auto"/>
                      <w:szCs w:val="21"/>
                    </w:rPr>
                  </w:pPr>
                </w:p>
              </w:tc>
              <w:tc>
                <w:tcPr>
                  <w:tcW w:w="2293" w:type="dxa"/>
                  <w:vMerge w:val="continue"/>
                  <w:noWrap w:val="0"/>
                  <w:vAlign w:val="center"/>
                </w:tcPr>
                <w:p>
                  <w:pPr>
                    <w:adjustRightInd w:val="0"/>
                    <w:snapToGrid w:val="0"/>
                    <w:jc w:val="center"/>
                    <w:rPr>
                      <w:color w:val="auto"/>
                      <w:kern w:val="0"/>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662" w:type="dxa"/>
                  <w:vMerge w:val="continue"/>
                  <w:noWrap w:val="0"/>
                  <w:vAlign w:val="center"/>
                </w:tcPr>
                <w:p>
                  <w:pPr>
                    <w:adjustRightInd w:val="0"/>
                    <w:snapToGrid w:val="0"/>
                    <w:jc w:val="center"/>
                    <w:rPr>
                      <w:color w:val="auto"/>
                      <w:szCs w:val="21"/>
                    </w:rPr>
                  </w:pPr>
                </w:p>
              </w:tc>
              <w:tc>
                <w:tcPr>
                  <w:tcW w:w="1438" w:type="dxa"/>
                  <w:noWrap w:val="0"/>
                  <w:vAlign w:val="center"/>
                </w:tcPr>
                <w:p>
                  <w:pPr>
                    <w:adjustRightInd w:val="0"/>
                    <w:snapToGrid w:val="0"/>
                    <w:jc w:val="center"/>
                    <w:rPr>
                      <w:rFonts w:hint="eastAsia"/>
                      <w:color w:val="auto"/>
                      <w:szCs w:val="21"/>
                      <w:lang w:val="en-US" w:eastAsia="zh-CN"/>
                    </w:rPr>
                  </w:pPr>
                  <w:r>
                    <w:rPr>
                      <w:rFonts w:hint="eastAsia"/>
                      <w:color w:val="auto"/>
                      <w:szCs w:val="21"/>
                      <w:lang w:val="en-US" w:eastAsia="zh-CN"/>
                    </w:rPr>
                    <w:t>生活</w:t>
                  </w:r>
                </w:p>
              </w:tc>
              <w:tc>
                <w:tcPr>
                  <w:tcW w:w="1142" w:type="dxa"/>
                  <w:noWrap w:val="0"/>
                  <w:vAlign w:val="center"/>
                </w:tcPr>
                <w:p>
                  <w:pPr>
                    <w:adjustRightInd w:val="0"/>
                    <w:snapToGrid w:val="0"/>
                    <w:jc w:val="center"/>
                    <w:rPr>
                      <w:rFonts w:hint="eastAsia" w:eastAsia="宋体"/>
                      <w:color w:val="auto"/>
                      <w:szCs w:val="21"/>
                      <w:lang w:val="en-US" w:eastAsia="zh-CN"/>
                    </w:rPr>
                  </w:pPr>
                  <w:r>
                    <w:rPr>
                      <w:color w:val="auto"/>
                      <w:szCs w:val="21"/>
                    </w:rPr>
                    <w:t>生活</w:t>
                  </w:r>
                  <w:r>
                    <w:rPr>
                      <w:rFonts w:hint="eastAsia"/>
                      <w:color w:val="auto"/>
                      <w:szCs w:val="21"/>
                      <w:lang w:val="en-US" w:eastAsia="zh-CN"/>
                    </w:rPr>
                    <w:t>垃圾</w:t>
                  </w:r>
                </w:p>
              </w:tc>
              <w:tc>
                <w:tcPr>
                  <w:tcW w:w="2067" w:type="dxa"/>
                  <w:vMerge w:val="continue"/>
                  <w:tcBorders>
                    <w:bottom w:val="single" w:color="auto" w:sz="4" w:space="0"/>
                  </w:tcBorders>
                  <w:noWrap w:val="0"/>
                  <w:vAlign w:val="center"/>
                </w:tcPr>
                <w:p>
                  <w:pPr>
                    <w:adjustRightInd w:val="0"/>
                    <w:snapToGrid w:val="0"/>
                    <w:jc w:val="center"/>
                    <w:rPr>
                      <w:color w:val="auto"/>
                      <w:szCs w:val="21"/>
                    </w:rPr>
                  </w:pPr>
                </w:p>
              </w:tc>
              <w:tc>
                <w:tcPr>
                  <w:tcW w:w="2191" w:type="dxa"/>
                  <w:vMerge w:val="continue"/>
                  <w:noWrap w:val="0"/>
                  <w:vAlign w:val="center"/>
                </w:tcPr>
                <w:p>
                  <w:pPr>
                    <w:adjustRightInd w:val="0"/>
                    <w:snapToGrid w:val="0"/>
                    <w:jc w:val="center"/>
                    <w:rPr>
                      <w:color w:val="auto"/>
                      <w:szCs w:val="21"/>
                    </w:rPr>
                  </w:pPr>
                </w:p>
              </w:tc>
              <w:tc>
                <w:tcPr>
                  <w:tcW w:w="2059" w:type="dxa"/>
                  <w:vMerge w:val="continue"/>
                  <w:noWrap w:val="0"/>
                  <w:vAlign w:val="center"/>
                </w:tcPr>
                <w:p>
                  <w:pPr>
                    <w:adjustRightInd w:val="0"/>
                    <w:snapToGrid w:val="0"/>
                    <w:rPr>
                      <w:color w:val="auto"/>
                      <w:szCs w:val="21"/>
                    </w:rPr>
                  </w:pPr>
                </w:p>
              </w:tc>
              <w:tc>
                <w:tcPr>
                  <w:tcW w:w="1300" w:type="dxa"/>
                  <w:vMerge w:val="continue"/>
                  <w:noWrap w:val="0"/>
                  <w:vAlign w:val="center"/>
                </w:tcPr>
                <w:p>
                  <w:pPr>
                    <w:adjustRightInd w:val="0"/>
                    <w:snapToGrid w:val="0"/>
                    <w:jc w:val="center"/>
                    <w:rPr>
                      <w:color w:val="auto"/>
                      <w:szCs w:val="21"/>
                    </w:rPr>
                  </w:pPr>
                </w:p>
              </w:tc>
              <w:tc>
                <w:tcPr>
                  <w:tcW w:w="2293" w:type="dxa"/>
                  <w:vMerge w:val="continue"/>
                  <w:noWrap w:val="0"/>
                  <w:vAlign w:val="center"/>
                </w:tcPr>
                <w:p>
                  <w:pPr>
                    <w:adjustRightInd w:val="0"/>
                    <w:snapToGrid w:val="0"/>
                    <w:jc w:val="center"/>
                    <w:rPr>
                      <w:color w:val="auto"/>
                      <w:kern w:val="0"/>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298" w:hRule="atLeast"/>
                <w:jc w:val="center"/>
              </w:trPr>
              <w:tc>
                <w:tcPr>
                  <w:tcW w:w="662" w:type="dxa"/>
                  <w:noWrap w:val="0"/>
                  <w:vAlign w:val="center"/>
                </w:tcPr>
                <w:p>
                  <w:pPr>
                    <w:widowControl/>
                    <w:adjustRightInd w:val="0"/>
                    <w:snapToGrid w:val="0"/>
                    <w:jc w:val="center"/>
                    <w:rPr>
                      <w:color w:val="auto"/>
                      <w:szCs w:val="21"/>
                    </w:rPr>
                  </w:pPr>
                  <w:r>
                    <w:rPr>
                      <w:color w:val="auto"/>
                      <w:szCs w:val="21"/>
                    </w:rPr>
                    <w:t>风险</w:t>
                  </w:r>
                </w:p>
              </w:tc>
              <w:tc>
                <w:tcPr>
                  <w:tcW w:w="12490" w:type="dxa"/>
                  <w:gridSpan w:val="7"/>
                  <w:noWrap w:val="0"/>
                  <w:vAlign w:val="center"/>
                </w:tcPr>
                <w:p>
                  <w:pPr>
                    <w:widowControl/>
                    <w:rPr>
                      <w:color w:val="auto"/>
                      <w:szCs w:val="21"/>
                    </w:rPr>
                  </w:pPr>
                  <w:r>
                    <w:rPr>
                      <w:color w:val="auto"/>
                      <w:szCs w:val="21"/>
                    </w:rPr>
                    <w:t>环境风险潜势为I级，主要以提出防范、减缓和应急措施为主。</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4670" w:hRule="atLeast"/>
                <w:jc w:val="center"/>
              </w:trPr>
              <w:tc>
                <w:tcPr>
                  <w:tcW w:w="662" w:type="dxa"/>
                  <w:noWrap w:val="0"/>
                  <w:vAlign w:val="center"/>
                </w:tcPr>
                <w:p>
                  <w:pPr>
                    <w:widowControl/>
                    <w:adjustRightInd w:val="0"/>
                    <w:snapToGrid w:val="0"/>
                    <w:jc w:val="center"/>
                    <w:rPr>
                      <w:color w:val="auto"/>
                      <w:szCs w:val="21"/>
                    </w:rPr>
                  </w:pPr>
                  <w:r>
                    <w:rPr>
                      <w:rFonts w:hint="eastAsia"/>
                      <w:color w:val="auto"/>
                      <w:szCs w:val="21"/>
                      <w:lang w:val="en-US" w:eastAsia="zh-CN"/>
                    </w:rPr>
                    <w:t>信息公开</w:t>
                  </w:r>
                </w:p>
              </w:tc>
              <w:tc>
                <w:tcPr>
                  <w:tcW w:w="12490" w:type="dxa"/>
                  <w:gridSpan w:val="7"/>
                  <w:noWrap w:val="0"/>
                  <w:vAlign w:val="center"/>
                </w:tcPr>
                <w:p>
                  <w:pPr>
                    <w:widowControl/>
                    <w:adjustRightInd w:val="0"/>
                    <w:snapToGrid w:val="0"/>
                  </w:pPr>
                  <w:r>
                    <w:t>项目名称：</w:t>
                  </w:r>
                  <w:r>
                    <w:rPr>
                      <w:rFonts w:hint="eastAsia"/>
                      <w:szCs w:val="22"/>
                      <w:lang w:val="en-US" w:eastAsia="zh-CN"/>
                    </w:rPr>
                    <w:t>天然食品添加剂</w:t>
                  </w:r>
                  <w:r>
                    <w:rPr>
                      <w:rFonts w:hint="default"/>
                      <w:szCs w:val="22"/>
                      <w:lang w:val="en-US" w:eastAsia="zh-CN"/>
                    </w:rPr>
                    <w:t>生产项目</w:t>
                  </w:r>
                </w:p>
                <w:p>
                  <w:pPr>
                    <w:widowControl/>
                    <w:adjustRightInd w:val="0"/>
                    <w:snapToGrid w:val="0"/>
                    <w:rPr>
                      <w:rFonts w:hint="eastAsia" w:ascii="Times New Roman" w:hAnsi="Times New Roman" w:cs="Times New Roman" w:eastAsiaTheme="minorEastAsia"/>
                      <w:b w:val="0"/>
                      <w:bCs/>
                      <w:sz w:val="24"/>
                      <w:szCs w:val="22"/>
                      <w:lang w:eastAsia="zh-CN"/>
                    </w:rPr>
                  </w:pPr>
                  <w:r>
                    <w:t>建设地点：</w:t>
                  </w:r>
                  <w:r>
                    <w:rPr>
                      <w:rFonts w:hint="eastAsia"/>
                      <w:szCs w:val="22"/>
                      <w:lang w:val="en-US" w:eastAsia="zh-CN"/>
                    </w:rPr>
                    <w:t>青岛西海岸新区大珠山路东、隐珠山路北</w:t>
                  </w:r>
                </w:p>
                <w:p>
                  <w:pPr>
                    <w:widowControl/>
                    <w:rPr>
                      <w:rFonts w:hint="default"/>
                      <w:color w:val="auto"/>
                      <w:szCs w:val="21"/>
                    </w:rPr>
                  </w:pPr>
                  <w:r>
                    <w:t>建设规模：</w:t>
                  </w:r>
                  <w:r>
                    <w:rPr>
                      <w:rFonts w:hint="default"/>
                      <w:color w:val="auto"/>
                      <w:szCs w:val="21"/>
                    </w:rPr>
                    <w:t>建成后，达到年产12吨的天然</w:t>
                  </w:r>
                  <w:r>
                    <w:rPr>
                      <w:rFonts w:hint="eastAsia"/>
                      <w:color w:val="auto"/>
                      <w:szCs w:val="21"/>
                      <w:lang w:val="en-US" w:eastAsia="zh-CN"/>
                    </w:rPr>
                    <w:t>食品</w:t>
                  </w:r>
                  <w:r>
                    <w:rPr>
                      <w:rFonts w:hint="default"/>
                      <w:color w:val="auto"/>
                      <w:szCs w:val="21"/>
                    </w:rPr>
                    <w:t>添加剂</w:t>
                  </w:r>
                  <w:r>
                    <w:rPr>
                      <w:rFonts w:hint="eastAsia"/>
                      <w:color w:val="auto"/>
                      <w:szCs w:val="21"/>
                      <w:lang w:val="en-US" w:eastAsia="zh-CN"/>
                    </w:rPr>
                    <w:t>的生产能力</w:t>
                  </w:r>
                  <w:r>
                    <w:rPr>
                      <w:rFonts w:hint="default"/>
                      <w:color w:val="auto"/>
                      <w:szCs w:val="21"/>
                    </w:rPr>
                    <w:t>。</w:t>
                  </w:r>
                </w:p>
                <w:p>
                  <w:pPr>
                    <w:widowControl/>
                  </w:pPr>
                  <w:r>
                    <w:t>建设进度：新建</w:t>
                  </w:r>
                </w:p>
                <w:p>
                  <w:pPr>
                    <w:widowControl/>
                    <w:adjustRightInd w:val="0"/>
                    <w:snapToGrid w:val="0"/>
                    <w:rPr>
                      <w:color w:val="auto"/>
                      <w:szCs w:val="21"/>
                    </w:rPr>
                  </w:pPr>
                  <w:r>
                    <w:rPr>
                      <w:color w:val="auto"/>
                      <w:szCs w:val="21"/>
                    </w:rPr>
                    <w:t>主要污染物及处理措施：</w:t>
                  </w:r>
                </w:p>
                <w:p>
                  <w:pPr>
                    <w:pStyle w:val="5"/>
                    <w:keepNext w:val="0"/>
                    <w:keepLines w:val="0"/>
                    <w:pageBreakBefore w:val="0"/>
                    <w:widowControl w:val="0"/>
                    <w:numPr>
                      <w:ilvl w:val="0"/>
                      <w:numId w:val="7"/>
                    </w:numPr>
                    <w:kinsoku/>
                    <w:wordWrap/>
                    <w:overflowPunct/>
                    <w:topLinePunct w:val="0"/>
                    <w:autoSpaceDE/>
                    <w:autoSpaceDN/>
                    <w:bidi w:val="0"/>
                    <w:adjustRightInd w:val="0"/>
                    <w:snapToGrid w:val="0"/>
                    <w:spacing w:line="240" w:lineRule="auto"/>
                    <w:ind w:firstLine="0"/>
                    <w:rPr>
                      <w:color w:val="auto"/>
                      <w:sz w:val="21"/>
                      <w:szCs w:val="21"/>
                    </w:rPr>
                  </w:pPr>
                  <w:r>
                    <w:rPr>
                      <w:color w:val="auto"/>
                      <w:sz w:val="21"/>
                      <w:szCs w:val="21"/>
                    </w:rPr>
                    <w:t>废水治理。</w:t>
                  </w:r>
                  <w:r>
                    <w:rPr>
                      <w:rFonts w:hint="eastAsia"/>
                      <w:color w:val="auto"/>
                      <w:sz w:val="21"/>
                      <w:szCs w:val="21"/>
                      <w:lang w:val="en-US" w:eastAsia="zh-CN"/>
                    </w:rPr>
                    <w:t>原料、设备、车间地面</w:t>
                  </w:r>
                  <w:r>
                    <w:rPr>
                      <w:color w:val="auto"/>
                      <w:sz w:val="21"/>
                      <w:szCs w:val="21"/>
                    </w:rPr>
                    <w:t>清洗废水收集后排入</w:t>
                  </w:r>
                  <w:r>
                    <w:rPr>
                      <w:rFonts w:hint="eastAsia"/>
                      <w:color w:val="auto"/>
                      <w:sz w:val="21"/>
                      <w:szCs w:val="21"/>
                      <w:lang w:val="en-US" w:eastAsia="zh-CN"/>
                    </w:rPr>
                    <w:t>污水处理站</w:t>
                  </w:r>
                  <w:r>
                    <w:rPr>
                      <w:color w:val="auto"/>
                      <w:sz w:val="21"/>
                      <w:szCs w:val="21"/>
                    </w:rPr>
                    <w:t>理，</w:t>
                  </w:r>
                  <w:r>
                    <w:rPr>
                      <w:rFonts w:hint="eastAsia"/>
                      <w:color w:val="auto"/>
                      <w:sz w:val="21"/>
                      <w:szCs w:val="21"/>
                      <w:lang w:val="en-US" w:eastAsia="zh-CN"/>
                    </w:rPr>
                    <w:t>处理后的废水与经过化粪池预处理的</w:t>
                  </w:r>
                  <w:r>
                    <w:rPr>
                      <w:color w:val="auto"/>
                      <w:sz w:val="21"/>
                      <w:szCs w:val="21"/>
                    </w:rPr>
                    <w:t>生活污水</w:t>
                  </w:r>
                  <w:r>
                    <w:rPr>
                      <w:rFonts w:hint="eastAsia"/>
                      <w:color w:val="auto"/>
                      <w:sz w:val="21"/>
                      <w:szCs w:val="21"/>
                      <w:lang w:val="en-US" w:eastAsia="zh-CN"/>
                    </w:rPr>
                    <w:t>一同至市政污水管网</w:t>
                  </w:r>
                  <w:r>
                    <w:rPr>
                      <w:color w:val="auto"/>
                      <w:sz w:val="21"/>
                      <w:szCs w:val="21"/>
                    </w:rPr>
                    <w:t>，</w:t>
                  </w:r>
                  <w:r>
                    <w:rPr>
                      <w:rFonts w:hint="eastAsia"/>
                      <w:color w:val="auto"/>
                      <w:sz w:val="21"/>
                      <w:szCs w:val="21"/>
                      <w:lang w:val="en-US" w:eastAsia="zh-CN"/>
                    </w:rPr>
                    <w:t>出水水质</w:t>
                  </w:r>
                  <w:r>
                    <w:rPr>
                      <w:color w:val="auto"/>
                      <w:sz w:val="21"/>
                      <w:szCs w:val="21"/>
                    </w:rPr>
                    <w:t>满足《污水排入城镇下水道水质标准》（GB/T31962-2015）表1中的B级要求</w:t>
                  </w:r>
                  <w:r>
                    <w:rPr>
                      <w:rFonts w:hint="eastAsia"/>
                      <w:color w:val="auto"/>
                      <w:sz w:val="21"/>
                      <w:szCs w:val="21"/>
                      <w:lang w:eastAsia="zh-CN"/>
                    </w:rPr>
                    <w:t>。</w:t>
                  </w:r>
                  <w:r>
                    <w:rPr>
                      <w:color w:val="auto"/>
                      <w:sz w:val="21"/>
                      <w:szCs w:val="21"/>
                    </w:rPr>
                    <w:t>项目废水经市政污水管网排入</w:t>
                  </w:r>
                  <w:r>
                    <w:rPr>
                      <w:rFonts w:hint="default"/>
                      <w:color w:val="auto"/>
                      <w:sz w:val="21"/>
                      <w:szCs w:val="21"/>
                      <w:lang w:val="en-US" w:eastAsia="zh-CN"/>
                    </w:rPr>
                    <w:t>青岛海清环保科技有限公司污水处理厂</w:t>
                  </w:r>
                  <w:r>
                    <w:rPr>
                      <w:color w:val="auto"/>
                      <w:sz w:val="21"/>
                      <w:szCs w:val="21"/>
                    </w:rPr>
                    <w:t>进一步处理，项目废水对周围水环境影响较小。</w:t>
                  </w:r>
                </w:p>
                <w:p>
                  <w:pPr>
                    <w:keepNext w:val="0"/>
                    <w:keepLines w:val="0"/>
                    <w:pageBreakBefore w:val="0"/>
                    <w:widowControl w:val="0"/>
                    <w:kinsoku/>
                    <w:wordWrap/>
                    <w:overflowPunct/>
                    <w:topLinePunct w:val="0"/>
                    <w:autoSpaceDE/>
                    <w:autoSpaceDN/>
                    <w:bidi w:val="0"/>
                    <w:adjustRightInd w:val="0"/>
                    <w:snapToGrid w:val="0"/>
                    <w:spacing w:line="240" w:lineRule="auto"/>
                    <w:rPr>
                      <w:rFonts w:hint="eastAsia"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（2）</w:t>
                  </w:r>
                  <w:r>
                    <w:rPr>
                      <w:rFonts w:ascii="Times New Roman" w:hAnsi="Times New Roman" w:eastAsia="宋体" w:cs="Times New Roman"/>
                      <w:color w:val="auto"/>
                      <w:kern w:val="2"/>
                      <w:sz w:val="21"/>
                      <w:szCs w:val="21"/>
                      <w:lang w:val="en-US" w:eastAsia="zh-CN" w:bidi="ar-SA"/>
                    </w:rPr>
                    <w:t>废气治理</w:t>
                  </w:r>
                  <w:r>
                    <w:rPr>
                      <w:rFonts w:hint="eastAsia" w:ascii="Times New Roman" w:hAnsi="Times New Roman" w:eastAsia="宋体" w:cs="Times New Roman"/>
                      <w:color w:val="auto"/>
                      <w:kern w:val="2"/>
                      <w:sz w:val="21"/>
                      <w:szCs w:val="21"/>
                      <w:lang w:val="en-US" w:eastAsia="zh-CN" w:bidi="ar-SA"/>
                    </w:rPr>
                    <w:t>。项目废气提取过程全程密闭，异味气体在真空干燥机，真空干燥机负压运行，异味气体不会逸散至外界；提取结束</w:t>
                  </w:r>
                  <w:r>
                    <w:rPr>
                      <w:rFonts w:hint="default" w:ascii="Times New Roman" w:hAnsi="Times New Roman" w:eastAsia="宋体" w:cs="Times New Roman"/>
                      <w:color w:val="auto"/>
                      <w:kern w:val="2"/>
                      <w:sz w:val="21"/>
                      <w:szCs w:val="21"/>
                      <w:lang w:val="en-US" w:eastAsia="zh-CN" w:bidi="ar-SA"/>
                    </w:rPr>
                    <w:t>后，气体状态下提取物经冷却水冷凝至真空罐中，冷却水进水温度12~13℃，换热面积为25m</w:t>
                  </w:r>
                  <w:r>
                    <w:rPr>
                      <w:rFonts w:hint="default" w:ascii="Times New Roman" w:hAnsi="Times New Roman" w:eastAsia="宋体" w:cs="Times New Roman"/>
                      <w:color w:val="auto"/>
                      <w:kern w:val="2"/>
                      <w:sz w:val="21"/>
                      <w:szCs w:val="21"/>
                      <w:vertAlign w:val="superscript"/>
                      <w:lang w:val="en-US" w:eastAsia="zh-CN" w:bidi="ar-SA"/>
                    </w:rPr>
                    <w:t>2</w:t>
                  </w:r>
                  <w:r>
                    <w:rPr>
                      <w:rFonts w:hint="default" w:ascii="Times New Roman" w:hAnsi="Times New Roman" w:eastAsia="宋体" w:cs="Times New Roman"/>
                      <w:color w:val="auto"/>
                      <w:kern w:val="2"/>
                      <w:sz w:val="21"/>
                      <w:szCs w:val="21"/>
                      <w:lang w:val="en-US" w:eastAsia="zh-CN" w:bidi="ar-SA"/>
                    </w:rPr>
                    <w:t>，出水温度达到室温，</w:t>
                  </w:r>
                  <w:r>
                    <w:rPr>
                      <w:rFonts w:hint="eastAsia" w:ascii="Times New Roman" w:hAnsi="Times New Roman" w:eastAsia="宋体" w:cs="Times New Roman"/>
                      <w:color w:val="auto"/>
                      <w:kern w:val="2"/>
                      <w:sz w:val="21"/>
                      <w:szCs w:val="21"/>
                      <w:lang w:val="en-US" w:eastAsia="zh-CN" w:bidi="ar-SA"/>
                    </w:rPr>
                    <w:t>有微量</w:t>
                  </w:r>
                  <w:r>
                    <w:rPr>
                      <w:rFonts w:hint="default" w:ascii="Times New Roman" w:hAnsi="Times New Roman" w:eastAsia="宋体" w:cs="Times New Roman"/>
                      <w:color w:val="auto"/>
                      <w:kern w:val="2"/>
                      <w:sz w:val="21"/>
                      <w:szCs w:val="21"/>
                      <w:lang w:val="en-US" w:eastAsia="zh-CN" w:bidi="ar-SA"/>
                    </w:rPr>
                    <w:t>不</w:t>
                  </w:r>
                  <w:r>
                    <w:rPr>
                      <w:rFonts w:hint="eastAsia" w:ascii="Times New Roman" w:hAnsi="Times New Roman" w:eastAsia="宋体" w:cs="Times New Roman"/>
                      <w:color w:val="auto"/>
                      <w:kern w:val="2"/>
                      <w:sz w:val="21"/>
                      <w:szCs w:val="21"/>
                      <w:lang w:val="en-US" w:eastAsia="zh-CN" w:bidi="ar-SA"/>
                    </w:rPr>
                    <w:t>凝气在车间无组织排放</w:t>
                  </w:r>
                  <w:r>
                    <w:rPr>
                      <w:rFonts w:hint="eastAsia" w:cs="Times New Roman"/>
                      <w:color w:val="auto"/>
                      <w:kern w:val="2"/>
                      <w:sz w:val="21"/>
                      <w:szCs w:val="21"/>
                      <w:lang w:val="en-US" w:eastAsia="zh-CN" w:bidi="ar-SA"/>
                    </w:rPr>
                    <w:t>；</w:t>
                  </w:r>
                  <w:r>
                    <w:rPr>
                      <w:rFonts w:hint="eastAsia" w:ascii="Times New Roman" w:hAnsi="Times New Roman" w:eastAsia="宋体" w:cs="Times New Roman"/>
                      <w:color w:val="auto"/>
                      <w:kern w:val="2"/>
                      <w:sz w:val="21"/>
                      <w:szCs w:val="21"/>
                      <w:lang w:val="en-US" w:eastAsia="zh-CN" w:bidi="ar-SA"/>
                    </w:rPr>
                    <w:t>污水处理站</w:t>
                  </w:r>
                  <w:r>
                    <w:rPr>
                      <w:rFonts w:hint="eastAsia" w:cs="Times New Roman"/>
                      <w:color w:val="auto"/>
                      <w:kern w:val="2"/>
                      <w:sz w:val="21"/>
                      <w:szCs w:val="21"/>
                      <w:lang w:val="en-US" w:eastAsia="zh-CN" w:bidi="ar-SA"/>
                    </w:rPr>
                    <w:t>产生异味气体的污水池均加盖封闭，</w:t>
                  </w:r>
                  <w:r>
                    <w:rPr>
                      <w:rFonts w:hint="eastAsia" w:ascii="Times New Roman" w:hAnsi="Times New Roman" w:eastAsia="宋体" w:cs="Times New Roman"/>
                      <w:color w:val="auto"/>
                      <w:kern w:val="2"/>
                      <w:sz w:val="21"/>
                      <w:szCs w:val="21"/>
                      <w:lang w:val="en-US" w:eastAsia="zh-CN" w:bidi="ar-SA"/>
                    </w:rPr>
                    <w:t>厂界臭气浓度满足《恶臭污染物排标准》（GB14554-93）表1二级标准要求</w:t>
                  </w:r>
                  <w:r>
                    <w:rPr>
                      <w:rFonts w:hint="eastAsia" w:cs="Times New Roman"/>
                      <w:color w:val="auto"/>
                      <w:kern w:val="2"/>
                      <w:sz w:val="21"/>
                      <w:szCs w:val="21"/>
                      <w:lang w:val="en-US" w:eastAsia="zh-CN" w:bidi="ar-SA"/>
                    </w:rPr>
                    <w:t>，项目</w:t>
                  </w:r>
                  <w:r>
                    <w:rPr>
                      <w:rFonts w:hint="eastAsia" w:ascii="Times New Roman" w:hAnsi="Times New Roman" w:eastAsia="宋体" w:cs="Times New Roman"/>
                      <w:color w:val="auto"/>
                      <w:kern w:val="2"/>
                      <w:sz w:val="21"/>
                      <w:szCs w:val="21"/>
                      <w:lang w:val="en-US" w:eastAsia="zh-CN" w:bidi="ar-SA"/>
                    </w:rPr>
                    <w:t>异味气体对周边环境影响较小。</w:t>
                  </w:r>
                </w:p>
                <w:p>
                  <w:pPr>
                    <w:keepNext w:val="0"/>
                    <w:keepLines w:val="0"/>
                    <w:pageBreakBefore w:val="0"/>
                    <w:widowControl w:val="0"/>
                    <w:tabs>
                      <w:tab w:val="left" w:pos="840"/>
                    </w:tabs>
                    <w:kinsoku/>
                    <w:wordWrap/>
                    <w:overflowPunct/>
                    <w:topLinePunct w:val="0"/>
                    <w:autoSpaceDE/>
                    <w:autoSpaceDN/>
                    <w:bidi w:val="0"/>
                    <w:adjustRightInd w:val="0"/>
                    <w:snapToGrid w:val="0"/>
                    <w:spacing w:line="240" w:lineRule="auto"/>
                    <w:rPr>
                      <w:color w:val="auto"/>
                      <w:szCs w:val="21"/>
                    </w:rPr>
                  </w:pPr>
                  <w:r>
                    <w:rPr>
                      <w:color w:val="auto"/>
                      <w:szCs w:val="21"/>
                    </w:rPr>
                    <w:t>（3）噪声治理。运营期</w:t>
                  </w:r>
                  <w:r>
                    <w:rPr>
                      <w:rFonts w:hint="eastAsia"/>
                      <w:color w:val="auto"/>
                      <w:szCs w:val="21"/>
                      <w:lang w:val="en-US" w:eastAsia="zh-CN"/>
                    </w:rPr>
                    <w:t>生产</w:t>
                  </w:r>
                  <w:r>
                    <w:rPr>
                      <w:color w:val="auto"/>
                      <w:szCs w:val="21"/>
                    </w:rPr>
                    <w:t>设备安装在室内，</w:t>
                  </w:r>
                  <w:r>
                    <w:rPr>
                      <w:rFonts w:hint="eastAsia"/>
                      <w:color w:val="auto"/>
                      <w:szCs w:val="21"/>
                      <w:lang w:val="en-US" w:eastAsia="zh-CN"/>
                    </w:rPr>
                    <w:t>高噪声设备设置减振基础，设备噪声经建筑物隔声和距离衰减后，</w:t>
                  </w:r>
                  <w:r>
                    <w:rPr>
                      <w:color w:val="auto"/>
                      <w:szCs w:val="21"/>
                    </w:rPr>
                    <w:t>厂界噪声可满足《工业企业厂界环境噪声排放标准》（GB12348-2008）中的</w:t>
                  </w:r>
                  <w:r>
                    <w:rPr>
                      <w:rFonts w:hint="eastAsia"/>
                      <w:color w:val="auto"/>
                      <w:szCs w:val="21"/>
                      <w:lang w:val="en-US" w:eastAsia="zh-CN"/>
                    </w:rPr>
                    <w:t>3</w:t>
                  </w:r>
                  <w:r>
                    <w:rPr>
                      <w:color w:val="auto"/>
                      <w:szCs w:val="21"/>
                    </w:rPr>
                    <w:t>类标准要求</w:t>
                  </w:r>
                  <w:r>
                    <w:rPr>
                      <w:rFonts w:hint="eastAsia"/>
                      <w:color w:val="auto"/>
                      <w:szCs w:val="21"/>
                      <w:lang w:eastAsia="zh-CN"/>
                    </w:rPr>
                    <w:t>，</w:t>
                  </w:r>
                  <w:r>
                    <w:rPr>
                      <w:color w:val="auto"/>
                      <w:szCs w:val="21"/>
                    </w:rPr>
                    <w:t>项目噪声对周围声环境影响较小。</w:t>
                  </w:r>
                </w:p>
                <w:p>
                  <w:pPr>
                    <w:tabs>
                      <w:tab w:val="left" w:pos="840"/>
                    </w:tabs>
                    <w:adjustRightInd w:val="0"/>
                    <w:snapToGrid w:val="0"/>
                    <w:rPr>
                      <w:color w:val="auto"/>
                      <w:szCs w:val="21"/>
                    </w:rPr>
                  </w:pPr>
                  <w:r>
                    <w:rPr>
                      <w:color w:val="auto"/>
                      <w:szCs w:val="21"/>
                    </w:rPr>
                    <w:t>（4）固体废物处理。</w:t>
                  </w:r>
                  <w:r>
                    <w:rPr>
                      <w:rFonts w:hint="eastAsia"/>
                      <w:color w:val="auto"/>
                      <w:szCs w:val="21"/>
                      <w:lang w:val="en-US" w:eastAsia="zh-CN"/>
                    </w:rPr>
                    <w:t>植物残渣由相关食品单位回收利用</w:t>
                  </w:r>
                  <w:r>
                    <w:rPr>
                      <w:color w:val="auto"/>
                      <w:szCs w:val="21"/>
                    </w:rPr>
                    <w:t>；</w:t>
                  </w:r>
                  <w:r>
                    <w:rPr>
                      <w:rFonts w:hint="eastAsia"/>
                      <w:color w:val="auto"/>
                      <w:szCs w:val="21"/>
                      <w:lang w:val="en-US" w:eastAsia="zh-CN"/>
                    </w:rPr>
                    <w:t>不合格原料、污水处理站污泥及</w:t>
                  </w:r>
                  <w:r>
                    <w:rPr>
                      <w:color w:val="auto"/>
                      <w:szCs w:val="21"/>
                    </w:rPr>
                    <w:t>生活垃圾由城市环卫部门定期清运</w:t>
                  </w:r>
                  <w:r>
                    <w:rPr>
                      <w:rFonts w:hint="eastAsia"/>
                      <w:color w:val="auto"/>
                      <w:szCs w:val="21"/>
                      <w:lang w:eastAsia="zh-CN"/>
                    </w:rPr>
                    <w:t>，</w:t>
                  </w:r>
                  <w:r>
                    <w:rPr>
                      <w:color w:val="auto"/>
                      <w:szCs w:val="21"/>
                    </w:rPr>
                    <w:t>各类固废均有合理可行的处置去向，不会对周围环境产生明显影响。</w:t>
                  </w:r>
                </w:p>
              </w:tc>
            </w:tr>
          </w:tbl>
          <w:p>
            <w:pPr>
              <w:pStyle w:val="2"/>
              <w:rPr>
                <w:rFonts w:hint="eastAsia"/>
                <w:vertAlign w:val="baseline"/>
              </w:rPr>
            </w:pPr>
          </w:p>
        </w:tc>
      </w:tr>
    </w:tbl>
    <w:p>
      <w:pPr>
        <w:pStyle w:val="2"/>
        <w:rPr>
          <w:rFonts w:hint="eastAsia"/>
        </w:rPr>
      </w:pPr>
    </w:p>
    <w:p>
      <w:pPr>
        <w:pStyle w:val="2"/>
        <w:rPr>
          <w:rFonts w:hint="eastAsia"/>
        </w:rPr>
        <w:sectPr>
          <w:footerReference r:id="rId5" w:type="default"/>
          <w:pgSz w:w="16838" w:h="11906" w:orient="landscape"/>
          <w:pgMar w:top="1587" w:right="1701" w:bottom="1587" w:left="1985" w:header="851" w:footer="1134" w:gutter="0"/>
          <w:pgBorders w:offsetFrom="page">
            <w:top w:val="none" w:sz="0" w:space="0"/>
            <w:left w:val="none" w:sz="0" w:space="0"/>
            <w:bottom w:val="none" w:sz="0" w:space="0"/>
            <w:right w:val="none" w:sz="0" w:space="0"/>
          </w:pgBorders>
          <w:pgNumType w:fmt="decimal" w:start="23"/>
          <w:cols w:space="0" w:num="1"/>
          <w:rtlGutter w:val="0"/>
          <w:docGrid w:type="lines" w:linePitch="323" w:charSpace="0"/>
        </w:sectPr>
      </w:pPr>
    </w:p>
    <w:bookmarkEnd w:id="8"/>
    <w:p>
      <w:pPr>
        <w:pageBreakBefore/>
        <w:outlineLvl w:val="0"/>
        <w:rPr>
          <w:b/>
          <w:color w:val="auto"/>
          <w:sz w:val="30"/>
        </w:rPr>
      </w:pPr>
      <w:bookmarkStart w:id="9" w:name="_Toc523785288"/>
      <w:r>
        <w:rPr>
          <w:rFonts w:hint="eastAsia" w:ascii="黑体" w:hAnsi="黑体" w:eastAsia="黑体" w:cs="黑体"/>
          <w:b w:val="0"/>
          <w:bCs/>
          <w:color w:val="auto"/>
          <w:sz w:val="28"/>
          <w:szCs w:val="28"/>
        </w:rPr>
        <w:t>污染物排放分析</w:t>
      </w:r>
    </w:p>
    <w:tbl>
      <w:tblPr>
        <w:tblStyle w:val="37"/>
        <w:tblW w:w="90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2446"/>
        <w:gridCol w:w="1694"/>
        <w:gridCol w:w="540"/>
        <w:gridCol w:w="774"/>
        <w:gridCol w:w="30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1" w:hRule="atLeast"/>
          <w:jc w:val="center"/>
        </w:trPr>
        <w:tc>
          <w:tcPr>
            <w:tcW w:w="540" w:type="dxa"/>
            <w:vMerge w:val="restart"/>
            <w:noWrap w:val="0"/>
            <w:vAlign w:val="center"/>
          </w:tcPr>
          <w:p>
            <w:pPr>
              <w:jc w:val="center"/>
              <w:rPr>
                <w:rFonts w:eastAsia="仿宋_GB2312"/>
                <w:color w:val="auto"/>
                <w:sz w:val="24"/>
              </w:rPr>
            </w:pPr>
            <w:r>
              <w:rPr>
                <w:rFonts w:eastAsia="仿宋_GB2312"/>
                <w:color w:val="auto"/>
                <w:sz w:val="24"/>
              </w:rPr>
              <w:t>废</w:t>
            </w:r>
          </w:p>
          <w:p>
            <w:pPr>
              <w:jc w:val="center"/>
              <w:rPr>
                <w:rFonts w:eastAsia="仿宋_GB2312"/>
                <w:color w:val="auto"/>
                <w:sz w:val="24"/>
              </w:rPr>
            </w:pPr>
            <w:r>
              <w:rPr>
                <w:rFonts w:eastAsia="仿宋_GB2312"/>
                <w:color w:val="auto"/>
                <w:sz w:val="24"/>
              </w:rPr>
              <w:t xml:space="preserve">         </w:t>
            </w:r>
          </w:p>
          <w:p>
            <w:pPr>
              <w:jc w:val="center"/>
              <w:rPr>
                <w:rFonts w:eastAsia="仿宋_GB2312"/>
                <w:color w:val="auto"/>
                <w:sz w:val="24"/>
              </w:rPr>
            </w:pPr>
          </w:p>
          <w:p>
            <w:pPr>
              <w:jc w:val="center"/>
              <w:rPr>
                <w:rFonts w:eastAsia="仿宋_GB2312"/>
                <w:color w:val="auto"/>
                <w:sz w:val="24"/>
              </w:rPr>
            </w:pPr>
          </w:p>
          <w:p>
            <w:pPr>
              <w:jc w:val="center"/>
              <w:rPr>
                <w:rFonts w:eastAsia="仿宋_GB2312"/>
                <w:color w:val="auto"/>
                <w:sz w:val="24"/>
              </w:rPr>
            </w:pPr>
          </w:p>
          <w:p>
            <w:pPr>
              <w:jc w:val="center"/>
              <w:rPr>
                <w:rFonts w:eastAsia="仿宋_GB2312"/>
                <w:color w:val="auto"/>
                <w:sz w:val="24"/>
              </w:rPr>
            </w:pPr>
          </w:p>
          <w:p>
            <w:pPr>
              <w:jc w:val="center"/>
              <w:rPr>
                <w:rFonts w:eastAsia="仿宋_GB2312"/>
                <w:color w:val="auto"/>
                <w:sz w:val="24"/>
              </w:rPr>
            </w:pPr>
          </w:p>
          <w:p>
            <w:pPr>
              <w:jc w:val="center"/>
              <w:rPr>
                <w:rFonts w:eastAsia="仿宋_GB2312"/>
                <w:color w:val="auto"/>
                <w:sz w:val="24"/>
              </w:rPr>
            </w:pPr>
            <w:r>
              <w:rPr>
                <w:rFonts w:eastAsia="仿宋_GB2312"/>
                <w:color w:val="auto"/>
                <w:sz w:val="24"/>
              </w:rPr>
              <w:t>水</w:t>
            </w:r>
          </w:p>
          <w:p>
            <w:pPr>
              <w:jc w:val="center"/>
              <w:rPr>
                <w:rFonts w:eastAsia="仿宋_GB2312"/>
                <w:color w:val="auto"/>
                <w:sz w:val="24"/>
              </w:rPr>
            </w:pPr>
          </w:p>
        </w:tc>
        <w:tc>
          <w:tcPr>
            <w:tcW w:w="2446" w:type="dxa"/>
            <w:noWrap w:val="0"/>
            <w:vAlign w:val="center"/>
          </w:tcPr>
          <w:p>
            <w:pPr>
              <w:jc w:val="center"/>
              <w:rPr>
                <w:rFonts w:eastAsia="仿宋_GB2312"/>
                <w:color w:val="auto"/>
                <w:sz w:val="24"/>
              </w:rPr>
            </w:pPr>
            <w:r>
              <w:rPr>
                <w:rFonts w:eastAsia="仿宋_GB2312"/>
                <w:color w:val="auto"/>
                <w:sz w:val="24"/>
              </w:rPr>
              <w:t>新鲜水总用量</w:t>
            </w:r>
          </w:p>
        </w:tc>
        <w:tc>
          <w:tcPr>
            <w:tcW w:w="1694" w:type="dxa"/>
            <w:noWrap w:val="0"/>
            <w:vAlign w:val="center"/>
          </w:tcPr>
          <w:p>
            <w:pPr>
              <w:jc w:val="center"/>
              <w:rPr>
                <w:color w:val="auto"/>
                <w:sz w:val="24"/>
              </w:rPr>
            </w:pPr>
            <w:r>
              <w:rPr>
                <w:rFonts w:hint="eastAsia"/>
                <w:color w:val="auto"/>
                <w:sz w:val="24"/>
                <w:lang w:val="en-US" w:eastAsia="zh-CN"/>
              </w:rPr>
              <w:t>417.4</w:t>
            </w:r>
            <w:r>
              <w:rPr>
                <w:color w:val="auto"/>
                <w:sz w:val="24"/>
              </w:rPr>
              <w:t>m</w:t>
            </w:r>
            <w:r>
              <w:rPr>
                <w:color w:val="auto"/>
                <w:sz w:val="24"/>
                <w:vertAlign w:val="superscript"/>
              </w:rPr>
              <w:t>3</w:t>
            </w:r>
            <w:r>
              <w:rPr>
                <w:color w:val="auto"/>
                <w:sz w:val="24"/>
              </w:rPr>
              <w:t>/a</w:t>
            </w:r>
          </w:p>
        </w:tc>
        <w:tc>
          <w:tcPr>
            <w:tcW w:w="540" w:type="dxa"/>
            <w:vMerge w:val="restart"/>
            <w:noWrap w:val="0"/>
            <w:vAlign w:val="center"/>
          </w:tcPr>
          <w:p>
            <w:pPr>
              <w:jc w:val="center"/>
              <w:rPr>
                <w:rFonts w:eastAsia="仿宋_GB2312"/>
                <w:color w:val="auto"/>
                <w:sz w:val="24"/>
              </w:rPr>
            </w:pPr>
            <w:r>
              <w:rPr>
                <w:rFonts w:eastAsia="仿宋_GB2312"/>
                <w:color w:val="auto"/>
                <w:sz w:val="24"/>
              </w:rPr>
              <w:t>排放去向</w:t>
            </w:r>
          </w:p>
        </w:tc>
        <w:tc>
          <w:tcPr>
            <w:tcW w:w="774" w:type="dxa"/>
            <w:vMerge w:val="restart"/>
            <w:noWrap w:val="0"/>
            <w:vAlign w:val="center"/>
          </w:tcPr>
          <w:p>
            <w:pPr>
              <w:jc w:val="center"/>
              <w:rPr>
                <w:rFonts w:eastAsia="仿宋_GB2312"/>
                <w:color w:val="auto"/>
                <w:sz w:val="24"/>
              </w:rPr>
            </w:pPr>
            <w:r>
              <w:rPr>
                <w:rFonts w:eastAsia="仿宋_GB2312"/>
                <w:color w:val="auto"/>
                <w:sz w:val="24"/>
              </w:rPr>
              <w:t>直接</w:t>
            </w:r>
          </w:p>
        </w:tc>
        <w:tc>
          <w:tcPr>
            <w:tcW w:w="3009" w:type="dxa"/>
            <w:vMerge w:val="restart"/>
            <w:noWrap w:val="0"/>
            <w:vAlign w:val="center"/>
          </w:tcPr>
          <w:p>
            <w:pPr>
              <w:spacing w:line="300" w:lineRule="exact"/>
              <w:jc w:val="left"/>
              <w:rPr>
                <w:color w:val="auto"/>
                <w:sz w:val="24"/>
              </w:rPr>
            </w:pPr>
            <w:r>
              <w:rPr>
                <w:color w:val="auto"/>
                <w:sz w:val="24"/>
              </w:rPr>
              <w:t>清洗废水</w:t>
            </w:r>
            <w:r>
              <w:rPr>
                <w:rFonts w:hint="eastAsia"/>
                <w:color w:val="auto"/>
                <w:sz w:val="24"/>
                <w:lang w:val="en-US" w:eastAsia="zh-CN"/>
              </w:rPr>
              <w:t>由</w:t>
            </w:r>
            <w:r>
              <w:rPr>
                <w:color w:val="auto"/>
                <w:sz w:val="24"/>
              </w:rPr>
              <w:t>污水处理</w:t>
            </w:r>
            <w:r>
              <w:rPr>
                <w:rFonts w:hint="eastAsia"/>
                <w:color w:val="auto"/>
                <w:sz w:val="24"/>
                <w:lang w:val="en-US" w:eastAsia="zh-CN"/>
              </w:rPr>
              <w:t>设施处理后，与生活污水一同排入</w:t>
            </w:r>
            <w:r>
              <w:rPr>
                <w:color w:val="auto"/>
                <w:sz w:val="24"/>
              </w:rPr>
              <w:t>市政污水管网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540" w:type="dxa"/>
            <w:vMerge w:val="continue"/>
            <w:noWrap w:val="0"/>
            <w:vAlign w:val="center"/>
          </w:tcPr>
          <w:p>
            <w:pPr>
              <w:jc w:val="center"/>
              <w:rPr>
                <w:rFonts w:eastAsia="仿宋_GB2312"/>
                <w:color w:val="auto"/>
                <w:sz w:val="24"/>
              </w:rPr>
            </w:pPr>
          </w:p>
        </w:tc>
        <w:tc>
          <w:tcPr>
            <w:tcW w:w="2446" w:type="dxa"/>
            <w:noWrap w:val="0"/>
            <w:vAlign w:val="center"/>
          </w:tcPr>
          <w:p>
            <w:pPr>
              <w:jc w:val="center"/>
              <w:rPr>
                <w:rFonts w:eastAsia="仿宋_GB2312"/>
                <w:color w:val="auto"/>
                <w:sz w:val="24"/>
              </w:rPr>
            </w:pPr>
            <w:r>
              <w:rPr>
                <w:rFonts w:eastAsia="仿宋_GB2312"/>
                <w:color w:val="auto"/>
                <w:sz w:val="24"/>
              </w:rPr>
              <w:t>生产废水排放量</w:t>
            </w:r>
          </w:p>
        </w:tc>
        <w:tc>
          <w:tcPr>
            <w:tcW w:w="1694" w:type="dxa"/>
            <w:noWrap w:val="0"/>
            <w:vAlign w:val="center"/>
          </w:tcPr>
          <w:p>
            <w:pPr>
              <w:jc w:val="center"/>
              <w:rPr>
                <w:color w:val="auto"/>
                <w:sz w:val="24"/>
              </w:rPr>
            </w:pPr>
            <w:r>
              <w:rPr>
                <w:rFonts w:hint="eastAsia"/>
                <w:color w:val="auto"/>
                <w:sz w:val="24"/>
                <w:lang w:val="en-US" w:eastAsia="zh-CN"/>
              </w:rPr>
              <w:t>202.5</w:t>
            </w:r>
            <w:r>
              <w:rPr>
                <w:color w:val="auto"/>
                <w:sz w:val="24"/>
              </w:rPr>
              <w:t>m</w:t>
            </w:r>
            <w:r>
              <w:rPr>
                <w:color w:val="auto"/>
                <w:sz w:val="24"/>
                <w:vertAlign w:val="superscript"/>
              </w:rPr>
              <w:t>3</w:t>
            </w:r>
            <w:r>
              <w:rPr>
                <w:color w:val="auto"/>
                <w:sz w:val="24"/>
              </w:rPr>
              <w:t>/a</w:t>
            </w:r>
          </w:p>
        </w:tc>
        <w:tc>
          <w:tcPr>
            <w:tcW w:w="540" w:type="dxa"/>
            <w:vMerge w:val="continue"/>
            <w:noWrap w:val="0"/>
            <w:vAlign w:val="center"/>
          </w:tcPr>
          <w:p>
            <w:pPr>
              <w:jc w:val="center"/>
              <w:rPr>
                <w:rFonts w:eastAsia="仿宋_GB2312"/>
                <w:color w:val="auto"/>
                <w:sz w:val="24"/>
              </w:rPr>
            </w:pPr>
          </w:p>
        </w:tc>
        <w:tc>
          <w:tcPr>
            <w:tcW w:w="774" w:type="dxa"/>
            <w:vMerge w:val="continue"/>
            <w:noWrap w:val="0"/>
            <w:vAlign w:val="center"/>
          </w:tcPr>
          <w:p>
            <w:pPr>
              <w:jc w:val="center"/>
              <w:rPr>
                <w:rFonts w:eastAsia="仿宋_GB2312"/>
                <w:color w:val="auto"/>
                <w:sz w:val="24"/>
              </w:rPr>
            </w:pPr>
          </w:p>
        </w:tc>
        <w:tc>
          <w:tcPr>
            <w:tcW w:w="3009" w:type="dxa"/>
            <w:vMerge w:val="continue"/>
            <w:noWrap w:val="0"/>
            <w:vAlign w:val="center"/>
          </w:tcPr>
          <w:p>
            <w:pPr>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3" w:hRule="atLeast"/>
          <w:jc w:val="center"/>
        </w:trPr>
        <w:tc>
          <w:tcPr>
            <w:tcW w:w="540" w:type="dxa"/>
            <w:vMerge w:val="continue"/>
            <w:tcBorders>
              <w:bottom w:val="single" w:color="auto" w:sz="4" w:space="0"/>
            </w:tcBorders>
            <w:noWrap w:val="0"/>
            <w:vAlign w:val="center"/>
          </w:tcPr>
          <w:p>
            <w:pPr>
              <w:jc w:val="center"/>
              <w:rPr>
                <w:rFonts w:eastAsia="仿宋_GB2312"/>
                <w:color w:val="auto"/>
                <w:sz w:val="24"/>
              </w:rPr>
            </w:pPr>
          </w:p>
        </w:tc>
        <w:tc>
          <w:tcPr>
            <w:tcW w:w="2446" w:type="dxa"/>
            <w:tcBorders>
              <w:bottom w:val="single" w:color="auto" w:sz="4" w:space="0"/>
            </w:tcBorders>
            <w:noWrap w:val="0"/>
            <w:vAlign w:val="center"/>
          </w:tcPr>
          <w:p>
            <w:pPr>
              <w:jc w:val="center"/>
              <w:rPr>
                <w:rFonts w:eastAsia="仿宋_GB2312"/>
                <w:color w:val="auto"/>
                <w:sz w:val="24"/>
              </w:rPr>
            </w:pPr>
            <w:r>
              <w:rPr>
                <w:rFonts w:eastAsia="仿宋_GB2312"/>
                <w:color w:val="auto"/>
                <w:sz w:val="24"/>
              </w:rPr>
              <w:t>生活污水排放量</w:t>
            </w:r>
          </w:p>
        </w:tc>
        <w:tc>
          <w:tcPr>
            <w:tcW w:w="1694" w:type="dxa"/>
            <w:tcBorders>
              <w:bottom w:val="single" w:color="auto" w:sz="4" w:space="0"/>
            </w:tcBorders>
            <w:noWrap w:val="0"/>
            <w:vAlign w:val="center"/>
          </w:tcPr>
          <w:p>
            <w:pPr>
              <w:jc w:val="center"/>
              <w:rPr>
                <w:color w:val="auto"/>
                <w:sz w:val="24"/>
              </w:rPr>
            </w:pPr>
            <w:r>
              <w:rPr>
                <w:rFonts w:hint="eastAsia"/>
                <w:color w:val="auto"/>
                <w:sz w:val="24"/>
                <w:lang w:val="en-US" w:eastAsia="zh-CN"/>
              </w:rPr>
              <w:t>128</w:t>
            </w:r>
            <w:r>
              <w:rPr>
                <w:color w:val="auto"/>
                <w:sz w:val="24"/>
              </w:rPr>
              <w:t xml:space="preserve"> m</w:t>
            </w:r>
            <w:r>
              <w:rPr>
                <w:color w:val="auto"/>
                <w:sz w:val="24"/>
                <w:vertAlign w:val="superscript"/>
              </w:rPr>
              <w:t>3</w:t>
            </w:r>
            <w:r>
              <w:rPr>
                <w:color w:val="auto"/>
                <w:sz w:val="24"/>
              </w:rPr>
              <w:t>/a</w:t>
            </w:r>
          </w:p>
        </w:tc>
        <w:tc>
          <w:tcPr>
            <w:tcW w:w="540" w:type="dxa"/>
            <w:vMerge w:val="continue"/>
            <w:tcBorders>
              <w:bottom w:val="single" w:color="auto" w:sz="4" w:space="0"/>
            </w:tcBorders>
            <w:noWrap w:val="0"/>
            <w:vAlign w:val="center"/>
          </w:tcPr>
          <w:p>
            <w:pPr>
              <w:jc w:val="center"/>
              <w:rPr>
                <w:rFonts w:eastAsia="仿宋_GB2312"/>
                <w:color w:val="auto"/>
                <w:sz w:val="24"/>
              </w:rPr>
            </w:pPr>
          </w:p>
        </w:tc>
        <w:tc>
          <w:tcPr>
            <w:tcW w:w="774" w:type="dxa"/>
            <w:tcBorders>
              <w:bottom w:val="single" w:color="auto" w:sz="4" w:space="0"/>
            </w:tcBorders>
            <w:noWrap w:val="0"/>
            <w:vAlign w:val="center"/>
          </w:tcPr>
          <w:p>
            <w:pPr>
              <w:jc w:val="center"/>
              <w:rPr>
                <w:rFonts w:eastAsia="仿宋_GB2312"/>
                <w:color w:val="auto"/>
                <w:sz w:val="24"/>
              </w:rPr>
            </w:pPr>
            <w:r>
              <w:rPr>
                <w:rFonts w:eastAsia="仿宋_GB2312"/>
                <w:color w:val="auto"/>
                <w:sz w:val="24"/>
              </w:rPr>
              <w:t>最终</w:t>
            </w:r>
          </w:p>
        </w:tc>
        <w:tc>
          <w:tcPr>
            <w:tcW w:w="3009" w:type="dxa"/>
            <w:tcBorders>
              <w:bottom w:val="single" w:color="auto" w:sz="4" w:space="0"/>
            </w:tcBorders>
            <w:noWrap w:val="0"/>
            <w:vAlign w:val="center"/>
          </w:tcPr>
          <w:p>
            <w:pPr>
              <w:jc w:val="center"/>
              <w:rPr>
                <w:color w:val="auto"/>
                <w:sz w:val="24"/>
              </w:rPr>
            </w:pPr>
            <w:r>
              <w:rPr>
                <w:color w:val="auto"/>
                <w:sz w:val="24"/>
                <w:szCs w:val="22"/>
              </w:rPr>
              <w:t>青岛海清环保科技有限公司污水处理厂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3" w:hRule="atLeast"/>
          <w:jc w:val="center"/>
        </w:trPr>
        <w:tc>
          <w:tcPr>
            <w:tcW w:w="540" w:type="dxa"/>
            <w:vMerge w:val="continue"/>
            <w:noWrap w:val="0"/>
            <w:vAlign w:val="center"/>
          </w:tcPr>
          <w:p>
            <w:pPr>
              <w:jc w:val="center"/>
              <w:rPr>
                <w:rFonts w:eastAsia="仿宋_GB2312"/>
                <w:color w:val="auto"/>
                <w:sz w:val="24"/>
              </w:rPr>
            </w:pPr>
          </w:p>
        </w:tc>
        <w:tc>
          <w:tcPr>
            <w:tcW w:w="2446" w:type="dxa"/>
            <w:vMerge w:val="restart"/>
            <w:noWrap w:val="0"/>
            <w:vAlign w:val="center"/>
          </w:tcPr>
          <w:p>
            <w:pPr>
              <w:jc w:val="center"/>
              <w:rPr>
                <w:rFonts w:eastAsia="仿宋_GB2312"/>
                <w:color w:val="auto"/>
                <w:sz w:val="24"/>
              </w:rPr>
            </w:pPr>
            <w:r>
              <w:rPr>
                <w:rFonts w:eastAsia="仿宋_GB2312"/>
                <w:color w:val="auto"/>
                <w:sz w:val="24"/>
              </w:rPr>
              <w:t>产生污染的工艺</w:t>
            </w:r>
          </w:p>
          <w:p>
            <w:pPr>
              <w:jc w:val="center"/>
              <w:rPr>
                <w:rFonts w:eastAsia="仿宋_GB2312"/>
                <w:color w:val="auto"/>
                <w:sz w:val="24"/>
              </w:rPr>
            </w:pPr>
            <w:r>
              <w:rPr>
                <w:rFonts w:eastAsia="仿宋_GB2312"/>
                <w:color w:val="auto"/>
                <w:sz w:val="24"/>
              </w:rPr>
              <w:t>装置或设备名称</w:t>
            </w:r>
          </w:p>
        </w:tc>
        <w:tc>
          <w:tcPr>
            <w:tcW w:w="6017" w:type="dxa"/>
            <w:gridSpan w:val="4"/>
            <w:noWrap w:val="0"/>
            <w:vAlign w:val="center"/>
          </w:tcPr>
          <w:p>
            <w:pPr>
              <w:jc w:val="center"/>
              <w:rPr>
                <w:rFonts w:eastAsia="仿宋_GB2312"/>
                <w:color w:val="auto"/>
                <w:sz w:val="24"/>
              </w:rPr>
            </w:pPr>
            <w:r>
              <w:rPr>
                <w:rFonts w:eastAsia="仿宋_GB2312"/>
                <w:color w:val="auto"/>
                <w:sz w:val="24"/>
              </w:rPr>
              <w:t>主要的污染物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4" w:hRule="atLeast"/>
          <w:jc w:val="center"/>
        </w:trPr>
        <w:tc>
          <w:tcPr>
            <w:tcW w:w="540" w:type="dxa"/>
            <w:vMerge w:val="continue"/>
            <w:noWrap w:val="0"/>
            <w:vAlign w:val="center"/>
          </w:tcPr>
          <w:p>
            <w:pPr>
              <w:jc w:val="center"/>
              <w:rPr>
                <w:rFonts w:eastAsia="仿宋_GB2312"/>
                <w:color w:val="auto"/>
                <w:sz w:val="24"/>
              </w:rPr>
            </w:pPr>
          </w:p>
        </w:tc>
        <w:tc>
          <w:tcPr>
            <w:tcW w:w="2446" w:type="dxa"/>
            <w:vMerge w:val="continue"/>
            <w:noWrap w:val="0"/>
            <w:vAlign w:val="center"/>
          </w:tcPr>
          <w:p>
            <w:pPr>
              <w:jc w:val="center"/>
              <w:rPr>
                <w:rFonts w:eastAsia="仿宋_GB2312"/>
                <w:color w:val="auto"/>
                <w:sz w:val="24"/>
              </w:rPr>
            </w:pPr>
          </w:p>
        </w:tc>
        <w:tc>
          <w:tcPr>
            <w:tcW w:w="1694" w:type="dxa"/>
            <w:noWrap w:val="0"/>
            <w:vAlign w:val="center"/>
          </w:tcPr>
          <w:p>
            <w:pPr>
              <w:jc w:val="center"/>
              <w:rPr>
                <w:rFonts w:eastAsia="仿宋_GB2312"/>
                <w:color w:val="auto"/>
                <w:sz w:val="24"/>
              </w:rPr>
            </w:pPr>
            <w:r>
              <w:rPr>
                <w:rFonts w:eastAsia="仿宋_GB2312"/>
                <w:color w:val="auto"/>
                <w:sz w:val="24"/>
              </w:rPr>
              <w:t>名   称</w:t>
            </w:r>
          </w:p>
        </w:tc>
        <w:tc>
          <w:tcPr>
            <w:tcW w:w="1314" w:type="dxa"/>
            <w:gridSpan w:val="2"/>
            <w:noWrap w:val="0"/>
            <w:vAlign w:val="center"/>
          </w:tcPr>
          <w:p>
            <w:pPr>
              <w:jc w:val="center"/>
              <w:rPr>
                <w:rFonts w:eastAsia="仿宋_GB2312"/>
                <w:color w:val="auto"/>
                <w:sz w:val="24"/>
              </w:rPr>
            </w:pPr>
            <w:r>
              <w:rPr>
                <w:rFonts w:eastAsia="仿宋_GB2312"/>
                <w:color w:val="auto"/>
                <w:sz w:val="24"/>
              </w:rPr>
              <w:t>产生量</w:t>
            </w:r>
          </w:p>
          <w:p>
            <w:pPr>
              <w:jc w:val="center"/>
              <w:rPr>
                <w:rFonts w:eastAsia="仿宋_GB2312"/>
                <w:color w:val="auto"/>
                <w:sz w:val="24"/>
              </w:rPr>
            </w:pPr>
            <w:r>
              <w:rPr>
                <w:rFonts w:eastAsia="仿宋_GB2312"/>
                <w:color w:val="auto"/>
                <w:sz w:val="24"/>
              </w:rPr>
              <w:t>（吨/年）</w:t>
            </w:r>
          </w:p>
        </w:tc>
        <w:tc>
          <w:tcPr>
            <w:tcW w:w="3009" w:type="dxa"/>
            <w:noWrap w:val="0"/>
            <w:vAlign w:val="center"/>
          </w:tcPr>
          <w:p>
            <w:pPr>
              <w:jc w:val="center"/>
              <w:rPr>
                <w:rFonts w:eastAsia="仿宋_GB2312"/>
                <w:color w:val="auto"/>
                <w:sz w:val="24"/>
              </w:rPr>
            </w:pPr>
            <w:r>
              <w:rPr>
                <w:rFonts w:eastAsia="仿宋_GB2312"/>
                <w:color w:val="auto"/>
                <w:sz w:val="24"/>
              </w:rPr>
              <w:t>排放量</w:t>
            </w:r>
          </w:p>
          <w:p>
            <w:pPr>
              <w:jc w:val="center"/>
              <w:rPr>
                <w:rFonts w:eastAsia="仿宋_GB2312"/>
                <w:color w:val="auto"/>
                <w:sz w:val="24"/>
              </w:rPr>
            </w:pPr>
            <w:r>
              <w:rPr>
                <w:rFonts w:eastAsia="仿宋_GB2312"/>
                <w:color w:val="auto"/>
                <w:sz w:val="24"/>
              </w:rPr>
              <w:t>（吨/年）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540" w:type="dxa"/>
            <w:vMerge w:val="continue"/>
            <w:noWrap w:val="0"/>
            <w:vAlign w:val="center"/>
          </w:tcPr>
          <w:p>
            <w:pPr>
              <w:jc w:val="center"/>
              <w:rPr>
                <w:rFonts w:eastAsia="仿宋_GB2312"/>
                <w:color w:val="auto"/>
                <w:sz w:val="24"/>
              </w:rPr>
            </w:pPr>
          </w:p>
        </w:tc>
        <w:tc>
          <w:tcPr>
            <w:tcW w:w="2446" w:type="dxa"/>
            <w:noWrap w:val="0"/>
            <w:vAlign w:val="center"/>
          </w:tcPr>
          <w:p>
            <w:pPr>
              <w:spacing w:line="440" w:lineRule="exact"/>
              <w:jc w:val="center"/>
              <w:rPr>
                <w:color w:val="auto"/>
                <w:sz w:val="24"/>
              </w:rPr>
            </w:pPr>
            <w:r>
              <w:rPr>
                <w:color w:val="auto"/>
                <w:sz w:val="24"/>
              </w:rPr>
              <w:t>清洗、纯水制备、生活</w:t>
            </w:r>
          </w:p>
        </w:tc>
        <w:tc>
          <w:tcPr>
            <w:tcW w:w="169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auto"/>
                <w:sz w:val="24"/>
                <w:vertAlign w:val="subscript"/>
              </w:rPr>
            </w:pPr>
            <w:r>
              <w:rPr>
                <w:color w:val="auto"/>
                <w:sz w:val="24"/>
              </w:rPr>
              <w:t>COD</w:t>
            </w:r>
            <w:r>
              <w:rPr>
                <w:color w:val="auto"/>
                <w:sz w:val="24"/>
                <w:vertAlign w:val="subscript"/>
              </w:rPr>
              <w:t>Cr</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auto"/>
                <w:sz w:val="24"/>
              </w:rPr>
            </w:pPr>
            <w:r>
              <w:rPr>
                <w:color w:val="auto"/>
                <w:sz w:val="24"/>
              </w:rPr>
              <w:t>BOD</w:t>
            </w:r>
            <w:r>
              <w:rPr>
                <w:color w:val="auto"/>
                <w:sz w:val="24"/>
                <w:vertAlign w:val="subscript"/>
              </w:rPr>
              <w:t>5</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auto"/>
                <w:sz w:val="24"/>
              </w:rPr>
            </w:pPr>
            <w:r>
              <w:rPr>
                <w:color w:val="auto"/>
                <w:sz w:val="24"/>
              </w:rPr>
              <w:t>SS</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auto"/>
                <w:sz w:val="24"/>
              </w:rPr>
            </w:pPr>
            <w:r>
              <w:rPr>
                <w:color w:val="auto"/>
                <w:sz w:val="24"/>
              </w:rPr>
              <w:t>NH</w:t>
            </w:r>
            <w:r>
              <w:rPr>
                <w:color w:val="auto"/>
                <w:sz w:val="24"/>
                <w:vertAlign w:val="subscript"/>
              </w:rPr>
              <w:t>3</w:t>
            </w:r>
            <w:r>
              <w:rPr>
                <w:color w:val="auto"/>
                <w:sz w:val="24"/>
              </w:rPr>
              <w:t>-N</w:t>
            </w:r>
          </w:p>
        </w:tc>
        <w:tc>
          <w:tcPr>
            <w:tcW w:w="131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olor w:val="auto"/>
                <w:sz w:val="24"/>
                <w:lang w:val="en-US" w:eastAsia="zh-CN"/>
              </w:rPr>
            </w:pPr>
            <w:r>
              <w:rPr>
                <w:rFonts w:hint="eastAsia"/>
                <w:color w:val="auto"/>
                <w:sz w:val="24"/>
                <w:lang w:val="en-US" w:eastAsia="zh-CN"/>
              </w:rPr>
              <w:t>0.178</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olor w:val="auto"/>
                <w:sz w:val="24"/>
                <w:lang w:val="en-US" w:eastAsia="zh-CN"/>
              </w:rPr>
            </w:pPr>
            <w:r>
              <w:rPr>
                <w:rFonts w:hint="eastAsia"/>
                <w:color w:val="auto"/>
                <w:sz w:val="24"/>
                <w:lang w:val="en-US" w:eastAsia="zh-CN"/>
              </w:rPr>
              <w:t>0.0525</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olor w:val="auto"/>
                <w:sz w:val="24"/>
                <w:lang w:val="en-US" w:eastAsia="zh-CN"/>
              </w:rPr>
            </w:pPr>
            <w:r>
              <w:rPr>
                <w:rFonts w:hint="eastAsia"/>
                <w:color w:val="auto"/>
                <w:sz w:val="24"/>
                <w:lang w:val="en-US" w:eastAsia="zh-CN"/>
              </w:rPr>
              <w:t>0.148</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auto"/>
                <w:sz w:val="24"/>
              </w:rPr>
            </w:pPr>
            <w:r>
              <w:rPr>
                <w:rFonts w:hint="eastAsia"/>
                <w:color w:val="auto"/>
                <w:sz w:val="24"/>
                <w:lang w:val="en-US" w:eastAsia="zh-CN"/>
              </w:rPr>
              <w:t>0.009</w:t>
            </w:r>
          </w:p>
        </w:tc>
        <w:tc>
          <w:tcPr>
            <w:tcW w:w="300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olor w:val="auto"/>
                <w:sz w:val="24"/>
                <w:szCs w:val="24"/>
                <w:lang w:val="en-US" w:eastAsia="zh-CN"/>
              </w:rPr>
            </w:pPr>
            <w:r>
              <w:rPr>
                <w:rFonts w:hint="eastAsia"/>
                <w:color w:val="auto"/>
                <w:sz w:val="24"/>
                <w:szCs w:val="24"/>
                <w:lang w:val="en-US" w:eastAsia="zh-CN"/>
              </w:rPr>
              <w:t>0.016</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olor w:val="auto"/>
                <w:sz w:val="24"/>
                <w:szCs w:val="24"/>
                <w:lang w:val="en-US" w:eastAsia="zh-CN"/>
              </w:rPr>
            </w:pPr>
            <w:r>
              <w:rPr>
                <w:rFonts w:hint="eastAsia"/>
                <w:color w:val="auto"/>
                <w:sz w:val="24"/>
                <w:szCs w:val="24"/>
                <w:lang w:val="en-US" w:eastAsia="zh-CN"/>
              </w:rPr>
              <w:t>0.0033</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olor w:val="auto"/>
                <w:sz w:val="24"/>
                <w:szCs w:val="24"/>
                <w:lang w:val="en-US" w:eastAsia="zh-CN"/>
              </w:rPr>
            </w:pPr>
            <w:r>
              <w:rPr>
                <w:rFonts w:hint="eastAsia"/>
                <w:color w:val="auto"/>
                <w:sz w:val="24"/>
                <w:szCs w:val="24"/>
                <w:lang w:val="en-US" w:eastAsia="zh-CN"/>
              </w:rPr>
              <w:t>0.0033</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auto"/>
                <w:sz w:val="24"/>
              </w:rPr>
            </w:pPr>
            <w:r>
              <w:rPr>
                <w:rFonts w:hint="eastAsia"/>
                <w:color w:val="auto"/>
                <w:sz w:val="24"/>
                <w:szCs w:val="24"/>
                <w:lang w:val="en-US" w:eastAsia="zh-CN"/>
              </w:rPr>
              <w:t>0.0016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2" w:hRule="atLeast"/>
          <w:jc w:val="center"/>
        </w:trPr>
        <w:tc>
          <w:tcPr>
            <w:tcW w:w="540" w:type="dxa"/>
            <w:vMerge w:val="restart"/>
            <w:noWrap w:val="0"/>
            <w:vAlign w:val="center"/>
          </w:tcPr>
          <w:p>
            <w:pPr>
              <w:jc w:val="center"/>
              <w:rPr>
                <w:rFonts w:eastAsia="仿宋_GB2312"/>
                <w:color w:val="auto"/>
                <w:sz w:val="24"/>
              </w:rPr>
            </w:pPr>
            <w:r>
              <w:rPr>
                <w:rFonts w:eastAsia="仿宋_GB2312"/>
                <w:color w:val="auto"/>
                <w:sz w:val="24"/>
              </w:rPr>
              <w:t>废</w:t>
            </w:r>
          </w:p>
          <w:p>
            <w:pPr>
              <w:jc w:val="center"/>
              <w:rPr>
                <w:rFonts w:eastAsia="仿宋_GB2312"/>
                <w:color w:val="auto"/>
                <w:sz w:val="24"/>
              </w:rPr>
            </w:pPr>
          </w:p>
          <w:p>
            <w:pPr>
              <w:jc w:val="center"/>
              <w:rPr>
                <w:rFonts w:eastAsia="仿宋_GB2312"/>
                <w:color w:val="auto"/>
                <w:sz w:val="24"/>
              </w:rPr>
            </w:pPr>
          </w:p>
          <w:p>
            <w:pPr>
              <w:jc w:val="center"/>
              <w:rPr>
                <w:rFonts w:eastAsia="仿宋_GB2312"/>
                <w:color w:val="auto"/>
                <w:sz w:val="24"/>
              </w:rPr>
            </w:pPr>
          </w:p>
          <w:p>
            <w:pPr>
              <w:jc w:val="center"/>
              <w:rPr>
                <w:rFonts w:eastAsia="仿宋_GB2312"/>
                <w:color w:val="auto"/>
                <w:sz w:val="24"/>
              </w:rPr>
            </w:pPr>
            <w:r>
              <w:rPr>
                <w:rFonts w:eastAsia="仿宋_GB2312"/>
                <w:color w:val="auto"/>
                <w:sz w:val="24"/>
              </w:rPr>
              <w:t>气</w:t>
            </w:r>
          </w:p>
          <w:p>
            <w:pPr>
              <w:jc w:val="center"/>
              <w:rPr>
                <w:rFonts w:eastAsia="仿宋_GB2312"/>
                <w:color w:val="auto"/>
                <w:sz w:val="24"/>
              </w:rPr>
            </w:pPr>
          </w:p>
        </w:tc>
        <w:tc>
          <w:tcPr>
            <w:tcW w:w="2446" w:type="dxa"/>
            <w:noWrap w:val="0"/>
            <w:vAlign w:val="center"/>
          </w:tcPr>
          <w:p>
            <w:pPr>
              <w:jc w:val="center"/>
              <w:rPr>
                <w:rFonts w:eastAsia="仿宋_GB2312"/>
                <w:color w:val="auto"/>
                <w:sz w:val="24"/>
              </w:rPr>
            </w:pPr>
            <w:r>
              <w:rPr>
                <w:rFonts w:eastAsia="仿宋_GB2312"/>
                <w:color w:val="auto"/>
                <w:sz w:val="24"/>
              </w:rPr>
              <w:t>工 艺 过 程</w:t>
            </w:r>
          </w:p>
          <w:p>
            <w:pPr>
              <w:jc w:val="center"/>
              <w:rPr>
                <w:rFonts w:eastAsia="仿宋_GB2312"/>
                <w:color w:val="auto"/>
                <w:sz w:val="24"/>
              </w:rPr>
            </w:pPr>
            <w:r>
              <w:rPr>
                <w:rFonts w:eastAsia="仿宋_GB2312"/>
                <w:color w:val="auto"/>
                <w:sz w:val="24"/>
              </w:rPr>
              <w:t>废气排放量</w:t>
            </w:r>
          </w:p>
          <w:p>
            <w:pPr>
              <w:jc w:val="center"/>
              <w:rPr>
                <w:rFonts w:eastAsia="仿宋_GB2312"/>
                <w:color w:val="auto"/>
              </w:rPr>
            </w:pPr>
            <w:r>
              <w:rPr>
                <w:rFonts w:eastAsia="仿宋_GB2312"/>
                <w:color w:val="auto"/>
              </w:rPr>
              <w:t>（标·立方米/年）</w:t>
            </w:r>
          </w:p>
        </w:tc>
        <w:tc>
          <w:tcPr>
            <w:tcW w:w="1694" w:type="dxa"/>
            <w:noWrap w:val="0"/>
            <w:vAlign w:val="center"/>
          </w:tcPr>
          <w:p>
            <w:pPr>
              <w:jc w:val="center"/>
              <w:rPr>
                <w:rFonts w:hint="eastAsia" w:eastAsia="宋体"/>
                <w:lang w:val="en-US" w:eastAsia="zh-CN"/>
              </w:rPr>
            </w:pPr>
            <w:r>
              <w:rPr>
                <w:rFonts w:hint="eastAsia"/>
                <w:lang w:val="en-US" w:eastAsia="zh-CN"/>
              </w:rPr>
              <w:t>/</w:t>
            </w:r>
          </w:p>
        </w:tc>
        <w:tc>
          <w:tcPr>
            <w:tcW w:w="1314" w:type="dxa"/>
            <w:gridSpan w:val="2"/>
            <w:noWrap w:val="0"/>
            <w:vAlign w:val="center"/>
          </w:tcPr>
          <w:p>
            <w:pPr>
              <w:jc w:val="center"/>
              <w:rPr>
                <w:rFonts w:eastAsia="仿宋_GB2312"/>
                <w:color w:val="auto"/>
                <w:sz w:val="24"/>
              </w:rPr>
            </w:pPr>
            <w:r>
              <w:rPr>
                <w:rFonts w:eastAsia="仿宋_GB2312"/>
                <w:color w:val="auto"/>
                <w:sz w:val="24"/>
              </w:rPr>
              <w:t>排气筒高度（米）</w:t>
            </w:r>
          </w:p>
        </w:tc>
        <w:tc>
          <w:tcPr>
            <w:tcW w:w="3009" w:type="dxa"/>
            <w:noWrap w:val="0"/>
            <w:vAlign w:val="center"/>
          </w:tcPr>
          <w:p>
            <w:pPr>
              <w:jc w:val="center"/>
              <w:rPr>
                <w:rFonts w:hint="eastAsia" w:eastAsia="宋体"/>
                <w:color w:val="auto"/>
                <w:sz w:val="24"/>
                <w:lang w:eastAsia="zh-CN"/>
              </w:rPr>
            </w:pPr>
            <w:r>
              <w:rPr>
                <w:rFonts w:hint="eastAsia"/>
                <w:color w:val="auto"/>
                <w:sz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540" w:type="dxa"/>
            <w:vMerge w:val="continue"/>
            <w:noWrap w:val="0"/>
            <w:vAlign w:val="center"/>
          </w:tcPr>
          <w:p>
            <w:pPr>
              <w:jc w:val="center"/>
              <w:rPr>
                <w:rFonts w:eastAsia="仿宋_GB2312"/>
                <w:color w:val="auto"/>
                <w:sz w:val="24"/>
              </w:rPr>
            </w:pPr>
          </w:p>
        </w:tc>
        <w:tc>
          <w:tcPr>
            <w:tcW w:w="2446" w:type="dxa"/>
            <w:vMerge w:val="restart"/>
            <w:noWrap w:val="0"/>
            <w:vAlign w:val="center"/>
          </w:tcPr>
          <w:p>
            <w:pPr>
              <w:jc w:val="center"/>
              <w:rPr>
                <w:rFonts w:eastAsia="仿宋_GB2312"/>
                <w:color w:val="auto"/>
                <w:sz w:val="24"/>
              </w:rPr>
            </w:pPr>
            <w:r>
              <w:rPr>
                <w:rFonts w:eastAsia="仿宋_GB2312"/>
                <w:color w:val="auto"/>
                <w:sz w:val="24"/>
              </w:rPr>
              <w:t>产生污染的工艺装置或设备名称</w:t>
            </w:r>
          </w:p>
        </w:tc>
        <w:tc>
          <w:tcPr>
            <w:tcW w:w="6017" w:type="dxa"/>
            <w:gridSpan w:val="4"/>
            <w:noWrap w:val="0"/>
            <w:vAlign w:val="center"/>
          </w:tcPr>
          <w:p>
            <w:pPr>
              <w:jc w:val="center"/>
              <w:rPr>
                <w:rFonts w:eastAsia="仿宋_GB2312"/>
                <w:color w:val="auto"/>
                <w:sz w:val="24"/>
              </w:rPr>
            </w:pPr>
            <w:r>
              <w:rPr>
                <w:rFonts w:eastAsia="仿宋_GB2312"/>
                <w:color w:val="auto"/>
                <w:sz w:val="24"/>
              </w:rPr>
              <w:t>主要的污染物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540" w:type="dxa"/>
            <w:vMerge w:val="continue"/>
            <w:noWrap w:val="0"/>
            <w:vAlign w:val="center"/>
          </w:tcPr>
          <w:p>
            <w:pPr>
              <w:jc w:val="center"/>
              <w:rPr>
                <w:rFonts w:eastAsia="仿宋_GB2312"/>
                <w:color w:val="auto"/>
                <w:sz w:val="24"/>
              </w:rPr>
            </w:pPr>
          </w:p>
        </w:tc>
        <w:tc>
          <w:tcPr>
            <w:tcW w:w="2446" w:type="dxa"/>
            <w:vMerge w:val="continue"/>
            <w:noWrap w:val="0"/>
            <w:vAlign w:val="center"/>
          </w:tcPr>
          <w:p>
            <w:pPr>
              <w:jc w:val="center"/>
              <w:rPr>
                <w:rFonts w:eastAsia="仿宋_GB2312"/>
                <w:color w:val="auto"/>
                <w:sz w:val="24"/>
              </w:rPr>
            </w:pPr>
          </w:p>
        </w:tc>
        <w:tc>
          <w:tcPr>
            <w:tcW w:w="1694" w:type="dxa"/>
            <w:noWrap w:val="0"/>
            <w:vAlign w:val="center"/>
          </w:tcPr>
          <w:p>
            <w:pPr>
              <w:jc w:val="center"/>
              <w:rPr>
                <w:rFonts w:eastAsia="仿宋_GB2312"/>
                <w:color w:val="auto"/>
                <w:sz w:val="24"/>
              </w:rPr>
            </w:pPr>
            <w:r>
              <w:rPr>
                <w:rFonts w:eastAsia="仿宋_GB2312"/>
                <w:color w:val="auto"/>
                <w:sz w:val="24"/>
              </w:rPr>
              <w:t>名称</w:t>
            </w:r>
          </w:p>
          <w:p>
            <w:pPr>
              <w:jc w:val="center"/>
              <w:rPr>
                <w:rFonts w:eastAsia="仿宋_GB2312"/>
                <w:color w:val="auto"/>
                <w:sz w:val="24"/>
              </w:rPr>
            </w:pPr>
          </w:p>
        </w:tc>
        <w:tc>
          <w:tcPr>
            <w:tcW w:w="1314" w:type="dxa"/>
            <w:gridSpan w:val="2"/>
            <w:noWrap w:val="0"/>
            <w:vAlign w:val="center"/>
          </w:tcPr>
          <w:p>
            <w:pPr>
              <w:jc w:val="center"/>
              <w:rPr>
                <w:rFonts w:eastAsia="仿宋_GB2312"/>
                <w:color w:val="auto"/>
                <w:sz w:val="24"/>
              </w:rPr>
            </w:pPr>
            <w:r>
              <w:rPr>
                <w:rFonts w:eastAsia="仿宋_GB2312"/>
                <w:color w:val="auto"/>
                <w:sz w:val="24"/>
              </w:rPr>
              <w:t>产生量</w:t>
            </w:r>
          </w:p>
          <w:p>
            <w:pPr>
              <w:jc w:val="center"/>
              <w:rPr>
                <w:rFonts w:eastAsia="仿宋_GB2312"/>
                <w:color w:val="auto"/>
                <w:sz w:val="24"/>
              </w:rPr>
            </w:pPr>
            <w:r>
              <w:rPr>
                <w:rFonts w:eastAsia="仿宋_GB2312"/>
                <w:color w:val="auto"/>
                <w:sz w:val="24"/>
              </w:rPr>
              <w:t>（吨/年）</w:t>
            </w:r>
          </w:p>
        </w:tc>
        <w:tc>
          <w:tcPr>
            <w:tcW w:w="3009" w:type="dxa"/>
            <w:noWrap w:val="0"/>
            <w:vAlign w:val="center"/>
          </w:tcPr>
          <w:p>
            <w:pPr>
              <w:jc w:val="center"/>
              <w:rPr>
                <w:rFonts w:eastAsia="仿宋_GB2312"/>
                <w:color w:val="auto"/>
                <w:sz w:val="24"/>
              </w:rPr>
            </w:pPr>
            <w:r>
              <w:rPr>
                <w:rFonts w:eastAsia="仿宋_GB2312"/>
                <w:color w:val="auto"/>
                <w:sz w:val="24"/>
              </w:rPr>
              <w:t>排放量</w:t>
            </w:r>
          </w:p>
          <w:p>
            <w:pPr>
              <w:jc w:val="center"/>
              <w:rPr>
                <w:rFonts w:eastAsia="仿宋_GB2312"/>
                <w:color w:val="auto"/>
                <w:sz w:val="24"/>
              </w:rPr>
            </w:pPr>
            <w:r>
              <w:rPr>
                <w:rFonts w:eastAsia="仿宋_GB2312"/>
                <w:color w:val="auto"/>
                <w:sz w:val="24"/>
              </w:rPr>
              <w:t>（吨/年）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atLeast"/>
          <w:jc w:val="center"/>
        </w:trPr>
        <w:tc>
          <w:tcPr>
            <w:tcW w:w="540" w:type="dxa"/>
            <w:vMerge w:val="continue"/>
            <w:noWrap w:val="0"/>
            <w:vAlign w:val="center"/>
          </w:tcPr>
          <w:p>
            <w:pPr>
              <w:jc w:val="center"/>
              <w:rPr>
                <w:rFonts w:eastAsia="仿宋_GB2312"/>
                <w:color w:val="auto"/>
                <w:sz w:val="24"/>
              </w:rPr>
            </w:pPr>
          </w:p>
        </w:tc>
        <w:tc>
          <w:tcPr>
            <w:tcW w:w="2446" w:type="dxa"/>
            <w:noWrap w:val="0"/>
            <w:vAlign w:val="center"/>
          </w:tcPr>
          <w:p>
            <w:pPr>
              <w:rPr>
                <w:rFonts w:hint="default" w:ascii="Times New Roman" w:hAnsi="Times New Roman" w:eastAsia="宋体" w:cs="Times New Roman"/>
                <w:kern w:val="2"/>
                <w:sz w:val="21"/>
                <w:szCs w:val="21"/>
                <w:vertAlign w:val="baseline"/>
                <w:lang w:val="en-US" w:eastAsia="zh-CN" w:bidi="ar-SA"/>
              </w:rPr>
            </w:pPr>
            <w:r>
              <w:rPr>
                <w:rFonts w:hint="eastAsia" w:eastAsia="仿宋_GB2312"/>
                <w:color w:val="auto"/>
                <w:sz w:val="24"/>
                <w:szCs w:val="22"/>
                <w:lang w:val="en-US" w:eastAsia="zh-CN"/>
              </w:rPr>
              <w:t>提取、冷却、污水处理设备</w:t>
            </w:r>
          </w:p>
        </w:tc>
        <w:tc>
          <w:tcPr>
            <w:tcW w:w="1694" w:type="dxa"/>
            <w:noWrap w:val="0"/>
            <w:vAlign w:val="center"/>
          </w:tcPr>
          <w:p>
            <w:pPr>
              <w:pStyle w:val="24"/>
              <w:spacing w:line="400" w:lineRule="exact"/>
              <w:ind w:left="0" w:leftChars="0" w:firstLine="0" w:firstLineChars="0"/>
              <w:jc w:val="center"/>
              <w:rPr>
                <w:rFonts w:hint="default" w:ascii="Times New Roman" w:hAnsi="Times New Roman" w:eastAsia="仿宋_GB2312" w:cs="Times New Roman"/>
                <w:color w:val="auto"/>
                <w:kern w:val="2"/>
                <w:sz w:val="24"/>
                <w:szCs w:val="22"/>
                <w:lang w:val="en-US" w:eastAsia="zh-CN" w:bidi="ar-SA"/>
              </w:rPr>
            </w:pPr>
            <w:r>
              <w:rPr>
                <w:rFonts w:hint="eastAsia" w:ascii="Times New Roman" w:hAnsi="Times New Roman" w:eastAsia="仿宋_GB2312" w:cs="Times New Roman"/>
                <w:color w:val="auto"/>
                <w:kern w:val="2"/>
                <w:sz w:val="24"/>
                <w:szCs w:val="22"/>
                <w:lang w:val="en-US" w:eastAsia="zh-CN" w:bidi="ar-SA"/>
              </w:rPr>
              <w:t>臭气浓度</w:t>
            </w:r>
          </w:p>
        </w:tc>
        <w:tc>
          <w:tcPr>
            <w:tcW w:w="1314" w:type="dxa"/>
            <w:gridSpan w:val="2"/>
            <w:noWrap w:val="0"/>
            <w:vAlign w:val="center"/>
          </w:tcPr>
          <w:p>
            <w:pPr>
              <w:pStyle w:val="24"/>
              <w:spacing w:line="400" w:lineRule="exact"/>
              <w:ind w:left="0" w:leftChars="0" w:firstLine="0" w:firstLineChars="0"/>
              <w:jc w:val="center"/>
              <w:rPr>
                <w:rFonts w:hint="eastAsia" w:ascii="Times New Roman" w:hAnsi="Times New Roman" w:eastAsia="仿宋_GB2312" w:cs="Times New Roman"/>
                <w:color w:val="auto"/>
                <w:kern w:val="2"/>
                <w:sz w:val="24"/>
                <w:szCs w:val="22"/>
                <w:lang w:val="en-US" w:eastAsia="zh-CN" w:bidi="ar-SA"/>
              </w:rPr>
            </w:pPr>
            <w:r>
              <w:rPr>
                <w:rFonts w:hint="eastAsia" w:ascii="Times New Roman" w:hAnsi="Times New Roman" w:eastAsia="仿宋_GB2312" w:cs="Times New Roman"/>
                <w:color w:val="auto"/>
                <w:kern w:val="2"/>
                <w:sz w:val="24"/>
                <w:szCs w:val="22"/>
                <w:lang w:val="en-US" w:eastAsia="zh-CN" w:bidi="ar-SA"/>
              </w:rPr>
              <w:t>/</w:t>
            </w:r>
          </w:p>
        </w:tc>
        <w:tc>
          <w:tcPr>
            <w:tcW w:w="3009" w:type="dxa"/>
            <w:noWrap w:val="0"/>
            <w:vAlign w:val="center"/>
          </w:tcPr>
          <w:p>
            <w:pPr>
              <w:pStyle w:val="24"/>
              <w:spacing w:line="400" w:lineRule="exact"/>
              <w:ind w:left="0" w:leftChars="0" w:firstLine="31" w:firstLineChars="13"/>
              <w:jc w:val="center"/>
              <w:rPr>
                <w:rFonts w:hint="eastAsia" w:ascii="Times New Roman" w:hAnsi="Times New Roman" w:eastAsia="仿宋_GB2312" w:cs="Times New Roman"/>
                <w:color w:val="auto"/>
                <w:kern w:val="2"/>
                <w:sz w:val="24"/>
                <w:szCs w:val="22"/>
                <w:lang w:val="en-US" w:eastAsia="zh-CN" w:bidi="ar-SA"/>
              </w:rPr>
            </w:pPr>
            <w:r>
              <w:rPr>
                <w:rFonts w:hint="eastAsia" w:ascii="Times New Roman" w:hAnsi="Times New Roman" w:eastAsia="仿宋_GB2312" w:cs="Times New Roman"/>
                <w:color w:val="auto"/>
                <w:kern w:val="2"/>
                <w:sz w:val="24"/>
                <w:szCs w:val="22"/>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atLeast"/>
          <w:jc w:val="center"/>
        </w:trPr>
        <w:tc>
          <w:tcPr>
            <w:tcW w:w="540" w:type="dxa"/>
            <w:noWrap w:val="0"/>
            <w:vAlign w:val="center"/>
          </w:tcPr>
          <w:p>
            <w:pPr>
              <w:jc w:val="center"/>
              <w:rPr>
                <w:rFonts w:eastAsia="仿宋_GB2312"/>
                <w:color w:val="auto"/>
                <w:sz w:val="24"/>
              </w:rPr>
            </w:pPr>
          </w:p>
        </w:tc>
        <w:tc>
          <w:tcPr>
            <w:tcW w:w="5454" w:type="dxa"/>
            <w:gridSpan w:val="4"/>
            <w:noWrap w:val="0"/>
            <w:vAlign w:val="center"/>
          </w:tcPr>
          <w:p>
            <w:pPr>
              <w:pStyle w:val="24"/>
              <w:spacing w:line="400" w:lineRule="exact"/>
              <w:ind w:left="0" w:leftChars="0" w:firstLine="31" w:firstLineChars="13"/>
              <w:jc w:val="center"/>
              <w:rPr>
                <w:rFonts w:hint="default" w:ascii="Times New Roman" w:hAnsi="Times New Roman" w:eastAsia="仿宋_GB2312" w:cs="Times New Roman"/>
                <w:color w:val="auto"/>
                <w:kern w:val="2"/>
                <w:sz w:val="24"/>
                <w:szCs w:val="22"/>
                <w:lang w:val="en-US" w:eastAsia="zh-CN" w:bidi="ar-SA"/>
              </w:rPr>
            </w:pPr>
            <w:r>
              <w:rPr>
                <w:rFonts w:hint="eastAsia" w:ascii="Times New Roman" w:cs="Times New Roman"/>
                <w:color w:val="auto"/>
                <w:kern w:val="2"/>
                <w:sz w:val="24"/>
                <w:szCs w:val="22"/>
                <w:lang w:val="en-US" w:eastAsia="zh-CN" w:bidi="ar-SA"/>
              </w:rPr>
              <w:t>主要的污染物</w:t>
            </w:r>
          </w:p>
        </w:tc>
        <w:tc>
          <w:tcPr>
            <w:tcW w:w="3009" w:type="dxa"/>
            <w:vMerge w:val="restart"/>
            <w:noWrap w:val="0"/>
            <w:vAlign w:val="center"/>
          </w:tcPr>
          <w:p>
            <w:pPr>
              <w:pStyle w:val="24"/>
              <w:spacing w:line="400" w:lineRule="exact"/>
              <w:ind w:left="0" w:leftChars="0" w:firstLine="31" w:firstLineChars="13"/>
              <w:jc w:val="center"/>
              <w:rPr>
                <w:rFonts w:hint="eastAsia" w:ascii="Times New Roman" w:hAnsi="Times New Roman" w:eastAsia="仿宋_GB2312" w:cs="Times New Roman"/>
                <w:color w:val="auto"/>
                <w:kern w:val="2"/>
                <w:sz w:val="24"/>
                <w:szCs w:val="22"/>
                <w:lang w:val="en-US" w:eastAsia="zh-CN" w:bidi="ar-SA"/>
              </w:rPr>
            </w:pPr>
            <w:r>
              <w:rPr>
                <w:rFonts w:eastAsia="仿宋_GB2312"/>
                <w:color w:val="auto"/>
                <w:sz w:val="24"/>
              </w:rPr>
              <w:t>排放去向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atLeast"/>
          <w:jc w:val="center"/>
        </w:trPr>
        <w:tc>
          <w:tcPr>
            <w:tcW w:w="540" w:type="dxa"/>
            <w:vMerge w:val="restart"/>
            <w:noWrap w:val="0"/>
            <w:vAlign w:val="center"/>
          </w:tcPr>
          <w:p>
            <w:pPr>
              <w:jc w:val="center"/>
              <w:rPr>
                <w:rFonts w:hint="eastAsia" w:eastAsia="仿宋_GB2312"/>
                <w:color w:val="auto"/>
                <w:sz w:val="24"/>
                <w:lang w:val="en-US" w:eastAsia="zh-CN"/>
              </w:rPr>
            </w:pPr>
            <w:r>
              <w:rPr>
                <w:rFonts w:hint="eastAsia" w:eastAsia="仿宋_GB2312"/>
                <w:color w:val="auto"/>
                <w:sz w:val="24"/>
                <w:lang w:val="en-US" w:eastAsia="zh-CN"/>
              </w:rPr>
              <w:t>固体废物</w:t>
            </w:r>
          </w:p>
        </w:tc>
        <w:tc>
          <w:tcPr>
            <w:tcW w:w="2446" w:type="dxa"/>
            <w:noWrap w:val="0"/>
            <w:vAlign w:val="center"/>
          </w:tcPr>
          <w:p>
            <w:pPr>
              <w:jc w:val="center"/>
              <w:rPr>
                <w:rFonts w:hint="eastAsia" w:ascii="Times New Roman" w:hAnsi="Times New Roman" w:eastAsia="仿宋_GB2312" w:cs="Times New Roman"/>
                <w:color w:val="auto"/>
                <w:kern w:val="2"/>
                <w:sz w:val="24"/>
                <w:lang w:val="en-US" w:eastAsia="zh-CN" w:bidi="ar-SA"/>
              </w:rPr>
            </w:pPr>
            <w:r>
              <w:rPr>
                <w:rFonts w:eastAsia="仿宋_GB2312"/>
                <w:color w:val="auto"/>
                <w:sz w:val="24"/>
              </w:rPr>
              <w:t>名称</w:t>
            </w:r>
          </w:p>
        </w:tc>
        <w:tc>
          <w:tcPr>
            <w:tcW w:w="1694" w:type="dxa"/>
            <w:noWrap w:val="0"/>
            <w:vAlign w:val="center"/>
          </w:tcPr>
          <w:p>
            <w:pPr>
              <w:jc w:val="center"/>
              <w:rPr>
                <w:rFonts w:eastAsia="仿宋_GB2312"/>
                <w:color w:val="auto"/>
                <w:sz w:val="24"/>
              </w:rPr>
            </w:pPr>
            <w:r>
              <w:rPr>
                <w:rFonts w:eastAsia="仿宋_GB2312"/>
                <w:color w:val="auto"/>
                <w:sz w:val="24"/>
              </w:rPr>
              <w:t>产生量</w:t>
            </w:r>
          </w:p>
          <w:p>
            <w:pPr>
              <w:jc w:val="center"/>
              <w:rPr>
                <w:rFonts w:hint="eastAsia" w:ascii="Times New Roman" w:hAnsi="Times New Roman" w:eastAsia="仿宋_GB2312" w:cs="Times New Roman"/>
                <w:color w:val="auto"/>
                <w:kern w:val="2"/>
                <w:sz w:val="24"/>
                <w:lang w:val="en-US" w:eastAsia="zh-CN" w:bidi="ar-SA"/>
              </w:rPr>
            </w:pPr>
            <w:r>
              <w:rPr>
                <w:rFonts w:eastAsia="仿宋_GB2312"/>
                <w:color w:val="auto"/>
                <w:sz w:val="24"/>
              </w:rPr>
              <w:t>（吨/年）</w:t>
            </w:r>
          </w:p>
        </w:tc>
        <w:tc>
          <w:tcPr>
            <w:tcW w:w="1314" w:type="dxa"/>
            <w:gridSpan w:val="2"/>
            <w:noWrap w:val="0"/>
            <w:vAlign w:val="center"/>
          </w:tcPr>
          <w:p>
            <w:pPr>
              <w:jc w:val="center"/>
              <w:rPr>
                <w:rFonts w:eastAsia="仿宋_GB2312"/>
                <w:color w:val="auto"/>
                <w:sz w:val="24"/>
              </w:rPr>
            </w:pPr>
            <w:r>
              <w:rPr>
                <w:rFonts w:eastAsia="仿宋_GB2312"/>
                <w:color w:val="auto"/>
                <w:sz w:val="24"/>
              </w:rPr>
              <w:t>排放量</w:t>
            </w:r>
          </w:p>
          <w:p>
            <w:pPr>
              <w:jc w:val="center"/>
              <w:rPr>
                <w:rFonts w:hint="eastAsia" w:ascii="Times New Roman" w:hAnsi="Times New Roman" w:eastAsia="仿宋_GB2312" w:cs="Times New Roman"/>
                <w:color w:val="auto"/>
                <w:kern w:val="2"/>
                <w:sz w:val="24"/>
                <w:lang w:val="en-US" w:eastAsia="zh-CN" w:bidi="ar-SA"/>
              </w:rPr>
            </w:pPr>
            <w:r>
              <w:rPr>
                <w:rFonts w:eastAsia="仿宋_GB2312"/>
                <w:color w:val="auto"/>
                <w:sz w:val="24"/>
              </w:rPr>
              <w:t>（吨/年）</w:t>
            </w:r>
          </w:p>
        </w:tc>
        <w:tc>
          <w:tcPr>
            <w:tcW w:w="3009" w:type="dxa"/>
            <w:vMerge w:val="continue"/>
            <w:noWrap w:val="0"/>
            <w:vAlign w:val="center"/>
          </w:tcPr>
          <w:p>
            <w:pPr>
              <w:pStyle w:val="24"/>
              <w:spacing w:line="400" w:lineRule="exact"/>
              <w:ind w:left="0" w:leftChars="0" w:firstLine="31" w:firstLineChars="13"/>
              <w:jc w:val="center"/>
              <w:rPr>
                <w:rFonts w:hint="eastAsia" w:ascii="Times New Roman" w:hAnsi="Times New Roman" w:eastAsia="仿宋_GB2312" w:cs="Times New Roman"/>
                <w:color w:val="auto"/>
                <w:kern w:val="2"/>
                <w:sz w:val="24"/>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jc w:val="center"/>
        </w:trPr>
        <w:tc>
          <w:tcPr>
            <w:tcW w:w="540" w:type="dxa"/>
            <w:vMerge w:val="continue"/>
            <w:noWrap w:val="0"/>
            <w:vAlign w:val="center"/>
          </w:tcPr>
          <w:p>
            <w:pPr>
              <w:jc w:val="center"/>
              <w:rPr>
                <w:rFonts w:eastAsia="仿宋_GB2312"/>
                <w:color w:val="auto"/>
                <w:sz w:val="24"/>
              </w:rPr>
            </w:pPr>
          </w:p>
        </w:tc>
        <w:tc>
          <w:tcPr>
            <w:tcW w:w="2446" w:type="dxa"/>
            <w:noWrap w:val="0"/>
            <w:vAlign w:val="center"/>
          </w:tcPr>
          <w:p>
            <w:pPr>
              <w:jc w:val="center"/>
              <w:rPr>
                <w:rFonts w:hint="default" w:eastAsia="仿宋_GB2312"/>
                <w:color w:val="auto"/>
                <w:sz w:val="24"/>
                <w:szCs w:val="22"/>
                <w:lang w:val="en-US" w:eastAsia="zh-CN"/>
              </w:rPr>
            </w:pPr>
            <w:r>
              <w:rPr>
                <w:rFonts w:hint="eastAsia" w:eastAsia="仿宋_GB2312"/>
                <w:color w:val="auto"/>
                <w:sz w:val="24"/>
                <w:szCs w:val="22"/>
                <w:lang w:val="en-US" w:eastAsia="zh-CN"/>
              </w:rPr>
              <w:t>植物残渣</w:t>
            </w:r>
          </w:p>
        </w:tc>
        <w:tc>
          <w:tcPr>
            <w:tcW w:w="1694" w:type="dxa"/>
            <w:noWrap w:val="0"/>
            <w:vAlign w:val="center"/>
          </w:tcPr>
          <w:p>
            <w:pPr>
              <w:pStyle w:val="24"/>
              <w:spacing w:line="400" w:lineRule="exact"/>
              <w:ind w:left="0" w:leftChars="0" w:firstLine="0" w:firstLineChars="0"/>
              <w:jc w:val="center"/>
              <w:rPr>
                <w:rFonts w:hint="default" w:ascii="Times New Roman" w:hAnsi="Times New Roman" w:eastAsia="仿宋_GB2312" w:cs="Times New Roman"/>
                <w:color w:val="auto"/>
                <w:kern w:val="2"/>
                <w:sz w:val="24"/>
                <w:szCs w:val="22"/>
                <w:lang w:val="en-US" w:eastAsia="zh-CN" w:bidi="ar-SA"/>
              </w:rPr>
            </w:pPr>
            <w:r>
              <w:rPr>
                <w:rFonts w:hint="eastAsia" w:ascii="Times New Roman" w:cs="Times New Roman"/>
                <w:color w:val="auto"/>
                <w:kern w:val="2"/>
                <w:sz w:val="24"/>
                <w:szCs w:val="22"/>
                <w:lang w:val="en-US" w:eastAsia="zh-CN" w:bidi="ar-SA"/>
              </w:rPr>
              <w:t>5</w:t>
            </w:r>
          </w:p>
        </w:tc>
        <w:tc>
          <w:tcPr>
            <w:tcW w:w="1314" w:type="dxa"/>
            <w:gridSpan w:val="2"/>
            <w:noWrap w:val="0"/>
            <w:vAlign w:val="center"/>
          </w:tcPr>
          <w:p>
            <w:pPr>
              <w:pStyle w:val="24"/>
              <w:spacing w:line="400" w:lineRule="exact"/>
              <w:ind w:left="0" w:leftChars="0" w:firstLine="0" w:firstLineChars="0"/>
              <w:jc w:val="center"/>
              <w:rPr>
                <w:rFonts w:hint="default" w:ascii="Times New Roman" w:hAnsi="Times New Roman" w:eastAsia="仿宋_GB2312" w:cs="Times New Roman"/>
                <w:color w:val="auto"/>
                <w:kern w:val="2"/>
                <w:sz w:val="24"/>
                <w:szCs w:val="22"/>
                <w:lang w:val="en-US" w:eastAsia="zh-CN" w:bidi="ar-SA"/>
              </w:rPr>
            </w:pPr>
            <w:r>
              <w:rPr>
                <w:rFonts w:hint="eastAsia" w:ascii="Times New Roman" w:cs="Times New Roman"/>
                <w:color w:val="auto"/>
                <w:kern w:val="2"/>
                <w:sz w:val="24"/>
                <w:szCs w:val="22"/>
                <w:lang w:val="en-US" w:eastAsia="zh-CN" w:bidi="ar-SA"/>
              </w:rPr>
              <w:t>0</w:t>
            </w:r>
          </w:p>
        </w:tc>
        <w:tc>
          <w:tcPr>
            <w:tcW w:w="3009" w:type="dxa"/>
            <w:noWrap w:val="0"/>
            <w:vAlign w:val="center"/>
          </w:tcPr>
          <w:p>
            <w:pPr>
              <w:pStyle w:val="24"/>
              <w:spacing w:line="400" w:lineRule="exact"/>
              <w:ind w:left="0" w:leftChars="0" w:firstLine="31" w:firstLineChars="13"/>
              <w:jc w:val="center"/>
              <w:rPr>
                <w:rFonts w:hint="eastAsia" w:ascii="Times New Roman" w:hAnsi="Times New Roman" w:eastAsia="仿宋_GB2312" w:cs="Times New Roman"/>
                <w:color w:val="auto"/>
                <w:kern w:val="2"/>
                <w:sz w:val="24"/>
                <w:szCs w:val="24"/>
                <w:lang w:val="en-US" w:eastAsia="zh-CN" w:bidi="ar-SA"/>
              </w:rPr>
            </w:pPr>
            <w:r>
              <w:rPr>
                <w:rFonts w:hint="eastAsia"/>
                <w:color w:val="auto"/>
                <w:sz w:val="24"/>
                <w:szCs w:val="24"/>
                <w:lang w:val="en-US" w:eastAsia="zh-CN"/>
              </w:rPr>
              <w:t>由相关食品单位回收利用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540" w:type="dxa"/>
            <w:vMerge w:val="continue"/>
            <w:noWrap w:val="0"/>
            <w:vAlign w:val="center"/>
          </w:tcPr>
          <w:p>
            <w:pPr>
              <w:jc w:val="center"/>
              <w:rPr>
                <w:rFonts w:eastAsia="仿宋_GB2312"/>
                <w:color w:val="auto"/>
                <w:sz w:val="24"/>
              </w:rPr>
            </w:pPr>
          </w:p>
        </w:tc>
        <w:tc>
          <w:tcPr>
            <w:tcW w:w="2446" w:type="dxa"/>
            <w:noWrap w:val="0"/>
            <w:vAlign w:val="center"/>
          </w:tcPr>
          <w:p>
            <w:pPr>
              <w:jc w:val="center"/>
              <w:rPr>
                <w:rFonts w:hint="default" w:eastAsia="仿宋_GB2312"/>
                <w:color w:val="auto"/>
                <w:sz w:val="24"/>
                <w:szCs w:val="22"/>
                <w:lang w:val="en-US" w:eastAsia="zh-CN"/>
              </w:rPr>
            </w:pPr>
            <w:r>
              <w:rPr>
                <w:rFonts w:hint="eastAsia" w:eastAsia="仿宋_GB2312"/>
                <w:color w:val="auto"/>
                <w:sz w:val="24"/>
                <w:szCs w:val="22"/>
                <w:lang w:val="en-US" w:eastAsia="zh-CN"/>
              </w:rPr>
              <w:t>不合格产品</w:t>
            </w:r>
          </w:p>
        </w:tc>
        <w:tc>
          <w:tcPr>
            <w:tcW w:w="1694" w:type="dxa"/>
            <w:noWrap w:val="0"/>
            <w:vAlign w:val="center"/>
          </w:tcPr>
          <w:p>
            <w:pPr>
              <w:pStyle w:val="24"/>
              <w:spacing w:line="400" w:lineRule="exact"/>
              <w:ind w:left="0" w:leftChars="0" w:firstLine="0" w:firstLineChars="0"/>
              <w:jc w:val="center"/>
              <w:rPr>
                <w:rFonts w:hint="default" w:ascii="Times New Roman" w:hAnsi="Times New Roman" w:eastAsia="仿宋_GB2312" w:cs="Times New Roman"/>
                <w:color w:val="auto"/>
                <w:kern w:val="2"/>
                <w:sz w:val="24"/>
                <w:szCs w:val="22"/>
                <w:lang w:val="en-US" w:eastAsia="zh-CN" w:bidi="ar-SA"/>
              </w:rPr>
            </w:pPr>
            <w:r>
              <w:rPr>
                <w:rFonts w:hint="eastAsia" w:ascii="Times New Roman" w:cs="Times New Roman"/>
                <w:color w:val="auto"/>
                <w:kern w:val="2"/>
                <w:sz w:val="24"/>
                <w:szCs w:val="22"/>
                <w:lang w:val="en-US" w:eastAsia="zh-CN" w:bidi="ar-SA"/>
              </w:rPr>
              <w:t>0.017</w:t>
            </w:r>
          </w:p>
        </w:tc>
        <w:tc>
          <w:tcPr>
            <w:tcW w:w="1314" w:type="dxa"/>
            <w:gridSpan w:val="2"/>
            <w:noWrap w:val="0"/>
            <w:vAlign w:val="center"/>
          </w:tcPr>
          <w:p>
            <w:pPr>
              <w:pStyle w:val="24"/>
              <w:spacing w:line="400" w:lineRule="exact"/>
              <w:ind w:left="0" w:leftChars="0" w:firstLine="0" w:firstLineChars="0"/>
              <w:jc w:val="center"/>
              <w:rPr>
                <w:rFonts w:hint="default" w:ascii="Times New Roman" w:hAnsi="Times New Roman" w:eastAsia="仿宋_GB2312" w:cs="Times New Roman"/>
                <w:color w:val="auto"/>
                <w:kern w:val="2"/>
                <w:sz w:val="24"/>
                <w:szCs w:val="22"/>
                <w:lang w:val="en-US" w:eastAsia="zh-CN" w:bidi="ar-SA"/>
              </w:rPr>
            </w:pPr>
            <w:r>
              <w:rPr>
                <w:rFonts w:hint="eastAsia" w:ascii="Times New Roman" w:cs="Times New Roman"/>
                <w:color w:val="auto"/>
                <w:kern w:val="2"/>
                <w:sz w:val="24"/>
                <w:szCs w:val="22"/>
                <w:lang w:val="en-US" w:eastAsia="zh-CN" w:bidi="ar-SA"/>
              </w:rPr>
              <w:t>0</w:t>
            </w:r>
          </w:p>
        </w:tc>
        <w:tc>
          <w:tcPr>
            <w:tcW w:w="3009" w:type="dxa"/>
            <w:vMerge w:val="restart"/>
            <w:noWrap w:val="0"/>
            <w:vAlign w:val="center"/>
          </w:tcPr>
          <w:p>
            <w:pPr>
              <w:pStyle w:val="24"/>
              <w:spacing w:line="400" w:lineRule="exact"/>
              <w:ind w:left="0" w:leftChars="0" w:firstLine="31" w:firstLineChars="13"/>
              <w:jc w:val="center"/>
              <w:rPr>
                <w:rFonts w:hint="eastAsia" w:ascii="Times New Roman" w:hAnsi="Times New Roman" w:eastAsia="仿宋_GB2312" w:cs="Times New Roman"/>
                <w:color w:val="auto"/>
                <w:kern w:val="2"/>
                <w:sz w:val="24"/>
                <w:szCs w:val="24"/>
                <w:lang w:val="en-US" w:eastAsia="zh-CN" w:bidi="ar-SA"/>
              </w:rPr>
            </w:pPr>
            <w:r>
              <w:rPr>
                <w:color w:val="auto"/>
                <w:sz w:val="24"/>
                <w:szCs w:val="24"/>
              </w:rPr>
              <w:t>由城市环卫部门定期清运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7" w:hRule="atLeast"/>
          <w:jc w:val="center"/>
        </w:trPr>
        <w:tc>
          <w:tcPr>
            <w:tcW w:w="540" w:type="dxa"/>
            <w:vMerge w:val="continue"/>
            <w:noWrap w:val="0"/>
            <w:vAlign w:val="center"/>
          </w:tcPr>
          <w:p>
            <w:pPr>
              <w:jc w:val="center"/>
              <w:rPr>
                <w:rFonts w:eastAsia="仿宋_GB2312"/>
                <w:color w:val="auto"/>
                <w:sz w:val="24"/>
              </w:rPr>
            </w:pPr>
          </w:p>
        </w:tc>
        <w:tc>
          <w:tcPr>
            <w:tcW w:w="2446" w:type="dxa"/>
            <w:noWrap w:val="0"/>
            <w:vAlign w:val="center"/>
          </w:tcPr>
          <w:p>
            <w:pPr>
              <w:jc w:val="center"/>
              <w:rPr>
                <w:rFonts w:hint="default" w:eastAsia="仿宋_GB2312"/>
                <w:color w:val="auto"/>
                <w:sz w:val="24"/>
                <w:szCs w:val="22"/>
                <w:lang w:val="en-US" w:eastAsia="zh-CN"/>
              </w:rPr>
            </w:pPr>
            <w:r>
              <w:rPr>
                <w:rFonts w:hint="eastAsia" w:eastAsia="仿宋_GB2312"/>
                <w:color w:val="auto"/>
                <w:sz w:val="24"/>
                <w:szCs w:val="22"/>
                <w:lang w:val="en-US" w:eastAsia="zh-CN"/>
              </w:rPr>
              <w:t>污水处理站污泥</w:t>
            </w:r>
          </w:p>
        </w:tc>
        <w:tc>
          <w:tcPr>
            <w:tcW w:w="1694" w:type="dxa"/>
            <w:noWrap w:val="0"/>
            <w:vAlign w:val="center"/>
          </w:tcPr>
          <w:p>
            <w:pPr>
              <w:pStyle w:val="24"/>
              <w:spacing w:line="400" w:lineRule="exact"/>
              <w:ind w:left="0" w:leftChars="0" w:firstLine="0" w:firstLineChars="0"/>
              <w:jc w:val="center"/>
              <w:rPr>
                <w:rFonts w:hint="default" w:ascii="Times New Roman" w:hAnsi="Times New Roman" w:eastAsia="仿宋_GB2312" w:cs="Times New Roman"/>
                <w:color w:val="auto"/>
                <w:kern w:val="2"/>
                <w:sz w:val="24"/>
                <w:szCs w:val="22"/>
                <w:lang w:val="en-US" w:eastAsia="zh-CN" w:bidi="ar-SA"/>
              </w:rPr>
            </w:pPr>
            <w:r>
              <w:rPr>
                <w:rFonts w:hint="eastAsia" w:ascii="Times New Roman" w:cs="Times New Roman"/>
                <w:color w:val="auto"/>
                <w:kern w:val="2"/>
                <w:sz w:val="24"/>
                <w:szCs w:val="22"/>
                <w:lang w:val="en-US" w:eastAsia="zh-CN" w:bidi="ar-SA"/>
              </w:rPr>
              <w:t>0.2</w:t>
            </w:r>
          </w:p>
        </w:tc>
        <w:tc>
          <w:tcPr>
            <w:tcW w:w="1314" w:type="dxa"/>
            <w:gridSpan w:val="2"/>
            <w:noWrap w:val="0"/>
            <w:vAlign w:val="center"/>
          </w:tcPr>
          <w:p>
            <w:pPr>
              <w:pStyle w:val="24"/>
              <w:spacing w:line="400" w:lineRule="exact"/>
              <w:ind w:left="0" w:leftChars="0" w:firstLine="0" w:firstLineChars="0"/>
              <w:jc w:val="center"/>
              <w:rPr>
                <w:rFonts w:hint="default" w:ascii="Times New Roman" w:hAnsi="Times New Roman" w:eastAsia="仿宋_GB2312" w:cs="Times New Roman"/>
                <w:color w:val="auto"/>
                <w:kern w:val="2"/>
                <w:sz w:val="24"/>
                <w:szCs w:val="22"/>
                <w:lang w:val="en-US" w:eastAsia="zh-CN" w:bidi="ar-SA"/>
              </w:rPr>
            </w:pPr>
            <w:r>
              <w:rPr>
                <w:rFonts w:hint="eastAsia" w:ascii="Times New Roman" w:cs="Times New Roman"/>
                <w:color w:val="auto"/>
                <w:kern w:val="2"/>
                <w:sz w:val="24"/>
                <w:szCs w:val="22"/>
                <w:lang w:val="en-US" w:eastAsia="zh-CN" w:bidi="ar-SA"/>
              </w:rPr>
              <w:t>0</w:t>
            </w:r>
          </w:p>
        </w:tc>
        <w:tc>
          <w:tcPr>
            <w:tcW w:w="3009" w:type="dxa"/>
            <w:vMerge w:val="continue"/>
            <w:noWrap w:val="0"/>
            <w:vAlign w:val="center"/>
          </w:tcPr>
          <w:p>
            <w:pPr>
              <w:pStyle w:val="24"/>
              <w:spacing w:line="400" w:lineRule="exact"/>
              <w:ind w:left="0" w:leftChars="0" w:firstLine="31" w:firstLineChars="13"/>
              <w:jc w:val="center"/>
              <w:rPr>
                <w:rFonts w:hint="eastAsia" w:ascii="Times New Roman" w:hAnsi="Times New Roman" w:eastAsia="仿宋_GB2312" w:cs="Times New Roman"/>
                <w:color w:val="auto"/>
                <w:kern w:val="2"/>
                <w:sz w:val="24"/>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7" w:hRule="atLeast"/>
          <w:jc w:val="center"/>
        </w:trPr>
        <w:tc>
          <w:tcPr>
            <w:tcW w:w="540" w:type="dxa"/>
            <w:vMerge w:val="continue"/>
            <w:noWrap w:val="0"/>
            <w:vAlign w:val="center"/>
          </w:tcPr>
          <w:p>
            <w:pPr>
              <w:jc w:val="center"/>
              <w:rPr>
                <w:rFonts w:eastAsia="仿宋_GB2312"/>
                <w:color w:val="auto"/>
                <w:sz w:val="24"/>
              </w:rPr>
            </w:pPr>
          </w:p>
        </w:tc>
        <w:tc>
          <w:tcPr>
            <w:tcW w:w="2446" w:type="dxa"/>
            <w:noWrap w:val="0"/>
            <w:vAlign w:val="center"/>
          </w:tcPr>
          <w:p>
            <w:pPr>
              <w:jc w:val="center"/>
              <w:rPr>
                <w:rFonts w:hint="default" w:eastAsia="仿宋_GB2312"/>
                <w:color w:val="auto"/>
                <w:sz w:val="24"/>
                <w:szCs w:val="22"/>
                <w:lang w:val="en-US" w:eastAsia="zh-CN"/>
              </w:rPr>
            </w:pPr>
            <w:r>
              <w:rPr>
                <w:rFonts w:hint="eastAsia" w:eastAsia="仿宋_GB2312"/>
                <w:color w:val="auto"/>
                <w:sz w:val="24"/>
                <w:szCs w:val="22"/>
                <w:lang w:val="en-US" w:eastAsia="zh-CN"/>
              </w:rPr>
              <w:t>生活垃圾</w:t>
            </w:r>
          </w:p>
        </w:tc>
        <w:tc>
          <w:tcPr>
            <w:tcW w:w="1694" w:type="dxa"/>
            <w:noWrap w:val="0"/>
            <w:vAlign w:val="center"/>
          </w:tcPr>
          <w:p>
            <w:pPr>
              <w:pStyle w:val="24"/>
              <w:spacing w:line="400" w:lineRule="exact"/>
              <w:ind w:left="0" w:leftChars="0" w:firstLine="0" w:firstLineChars="0"/>
              <w:jc w:val="center"/>
              <w:rPr>
                <w:rFonts w:hint="default" w:ascii="Times New Roman" w:hAnsi="Times New Roman" w:eastAsia="仿宋_GB2312" w:cs="Times New Roman"/>
                <w:color w:val="auto"/>
                <w:kern w:val="2"/>
                <w:sz w:val="24"/>
                <w:szCs w:val="22"/>
                <w:lang w:val="en-US" w:eastAsia="zh-CN" w:bidi="ar-SA"/>
              </w:rPr>
            </w:pPr>
            <w:r>
              <w:rPr>
                <w:rFonts w:hint="eastAsia" w:ascii="Times New Roman" w:cs="Times New Roman"/>
                <w:color w:val="auto"/>
                <w:kern w:val="2"/>
                <w:sz w:val="24"/>
                <w:szCs w:val="22"/>
                <w:lang w:val="en-US" w:eastAsia="zh-CN" w:bidi="ar-SA"/>
              </w:rPr>
              <w:t>1.5</w:t>
            </w:r>
          </w:p>
        </w:tc>
        <w:tc>
          <w:tcPr>
            <w:tcW w:w="1314" w:type="dxa"/>
            <w:gridSpan w:val="2"/>
            <w:noWrap w:val="0"/>
            <w:vAlign w:val="center"/>
          </w:tcPr>
          <w:p>
            <w:pPr>
              <w:pStyle w:val="24"/>
              <w:spacing w:line="400" w:lineRule="exact"/>
              <w:ind w:left="0" w:leftChars="0" w:firstLine="0" w:firstLineChars="0"/>
              <w:jc w:val="center"/>
              <w:rPr>
                <w:rFonts w:hint="default" w:ascii="Times New Roman" w:hAnsi="Times New Roman" w:eastAsia="仿宋_GB2312" w:cs="Times New Roman"/>
                <w:color w:val="auto"/>
                <w:kern w:val="2"/>
                <w:sz w:val="24"/>
                <w:szCs w:val="22"/>
                <w:lang w:val="en-US" w:eastAsia="zh-CN" w:bidi="ar-SA"/>
              </w:rPr>
            </w:pPr>
            <w:r>
              <w:rPr>
                <w:rFonts w:hint="eastAsia" w:ascii="Times New Roman" w:cs="Times New Roman"/>
                <w:color w:val="auto"/>
                <w:kern w:val="2"/>
                <w:sz w:val="24"/>
                <w:szCs w:val="22"/>
                <w:lang w:val="en-US" w:eastAsia="zh-CN" w:bidi="ar-SA"/>
              </w:rPr>
              <w:t>0</w:t>
            </w:r>
          </w:p>
        </w:tc>
        <w:tc>
          <w:tcPr>
            <w:tcW w:w="3009" w:type="dxa"/>
            <w:vMerge w:val="continue"/>
            <w:noWrap w:val="0"/>
            <w:vAlign w:val="center"/>
          </w:tcPr>
          <w:p>
            <w:pPr>
              <w:pStyle w:val="24"/>
              <w:spacing w:line="400" w:lineRule="exact"/>
              <w:ind w:left="0" w:leftChars="0" w:firstLine="31" w:firstLineChars="13"/>
              <w:jc w:val="center"/>
              <w:rPr>
                <w:rFonts w:hint="eastAsia" w:ascii="Times New Roman" w:hAnsi="Times New Roman" w:eastAsia="仿宋_GB2312" w:cs="Times New Roman"/>
                <w:color w:val="auto"/>
                <w:kern w:val="2"/>
                <w:sz w:val="24"/>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540" w:type="dxa"/>
            <w:vMerge w:val="restart"/>
            <w:noWrap w:val="0"/>
            <w:vAlign w:val="center"/>
          </w:tcPr>
          <w:p>
            <w:pPr>
              <w:jc w:val="center"/>
              <w:rPr>
                <w:rFonts w:hint="eastAsia" w:eastAsia="仿宋_GB2312"/>
                <w:color w:val="auto"/>
                <w:sz w:val="24"/>
                <w:lang w:val="en-US" w:eastAsia="zh-CN"/>
              </w:rPr>
            </w:pPr>
            <w:r>
              <w:rPr>
                <w:rFonts w:hint="eastAsia" w:eastAsia="仿宋_GB2312"/>
                <w:color w:val="auto"/>
                <w:sz w:val="24"/>
                <w:lang w:val="en-US" w:eastAsia="zh-CN"/>
              </w:rPr>
              <w:t>噪声</w:t>
            </w:r>
          </w:p>
        </w:tc>
        <w:tc>
          <w:tcPr>
            <w:tcW w:w="5454" w:type="dxa"/>
            <w:gridSpan w:val="4"/>
            <w:noWrap w:val="0"/>
            <w:vAlign w:val="center"/>
          </w:tcPr>
          <w:p>
            <w:pPr>
              <w:jc w:val="center"/>
              <w:rPr>
                <w:rFonts w:hint="eastAsia" w:ascii="Times New Roman" w:hAnsi="Times New Roman" w:eastAsia="仿宋_GB2312" w:cs="Times New Roman"/>
                <w:color w:val="auto"/>
                <w:kern w:val="2"/>
                <w:sz w:val="24"/>
                <w:lang w:val="en-US" w:eastAsia="zh-CN" w:bidi="ar-SA"/>
              </w:rPr>
            </w:pPr>
            <w:r>
              <w:rPr>
                <w:rFonts w:eastAsia="仿宋_GB2312"/>
                <w:color w:val="auto"/>
                <w:sz w:val="24"/>
              </w:rPr>
              <w:t>产生噪声的设备名称</w:t>
            </w:r>
          </w:p>
        </w:tc>
        <w:tc>
          <w:tcPr>
            <w:tcW w:w="3009" w:type="dxa"/>
            <w:noWrap w:val="0"/>
            <w:vAlign w:val="center"/>
          </w:tcPr>
          <w:p>
            <w:pPr>
              <w:jc w:val="center"/>
              <w:rPr>
                <w:rFonts w:hint="eastAsia" w:ascii="Times New Roman" w:hAnsi="Times New Roman" w:eastAsia="仿宋_GB2312" w:cs="Times New Roman"/>
                <w:color w:val="auto"/>
                <w:kern w:val="2"/>
                <w:sz w:val="24"/>
                <w:lang w:val="en-US" w:eastAsia="zh-CN" w:bidi="ar-SA"/>
              </w:rPr>
            </w:pPr>
            <w:r>
              <w:rPr>
                <w:rFonts w:eastAsia="仿宋_GB2312"/>
                <w:color w:val="auto"/>
                <w:sz w:val="24"/>
              </w:rPr>
              <w:t>等效声级dB(A)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3" w:hRule="atLeast"/>
          <w:jc w:val="center"/>
        </w:trPr>
        <w:tc>
          <w:tcPr>
            <w:tcW w:w="540" w:type="dxa"/>
            <w:vMerge w:val="continue"/>
            <w:noWrap w:val="0"/>
            <w:vAlign w:val="center"/>
          </w:tcPr>
          <w:p>
            <w:pPr>
              <w:jc w:val="center"/>
              <w:rPr>
                <w:rFonts w:eastAsia="仿宋_GB2312"/>
                <w:color w:val="auto"/>
                <w:sz w:val="24"/>
              </w:rPr>
            </w:pPr>
          </w:p>
        </w:tc>
        <w:tc>
          <w:tcPr>
            <w:tcW w:w="5454" w:type="dxa"/>
            <w:gridSpan w:val="4"/>
            <w:noWrap w:val="0"/>
            <w:vAlign w:val="center"/>
          </w:tcPr>
          <w:p>
            <w:pPr>
              <w:jc w:val="center"/>
              <w:rPr>
                <w:rFonts w:hint="eastAsia" w:eastAsia="仿宋_GB2312"/>
                <w:color w:val="auto"/>
                <w:sz w:val="24"/>
                <w:szCs w:val="22"/>
                <w:lang w:val="en-US" w:eastAsia="zh-CN"/>
              </w:rPr>
            </w:pPr>
            <w:r>
              <w:rPr>
                <w:rFonts w:eastAsia="仿宋_GB2312"/>
                <w:color w:val="auto"/>
                <w:sz w:val="24"/>
                <w:szCs w:val="22"/>
              </w:rPr>
              <w:t>各类</w:t>
            </w:r>
            <w:r>
              <w:rPr>
                <w:rFonts w:hint="eastAsia" w:eastAsia="仿宋_GB2312"/>
                <w:color w:val="auto"/>
                <w:sz w:val="24"/>
                <w:szCs w:val="22"/>
                <w:lang w:val="en-US" w:eastAsia="zh-CN"/>
              </w:rPr>
              <w:t>生产设</w:t>
            </w:r>
            <w:r>
              <w:rPr>
                <w:rFonts w:eastAsia="仿宋_GB2312"/>
                <w:color w:val="auto"/>
                <w:sz w:val="24"/>
                <w:szCs w:val="22"/>
              </w:rPr>
              <w:t>备</w:t>
            </w:r>
            <w:r>
              <w:rPr>
                <w:rFonts w:hint="eastAsia" w:eastAsia="仿宋_GB2312"/>
                <w:color w:val="auto"/>
                <w:sz w:val="24"/>
                <w:szCs w:val="22"/>
                <w:lang w:eastAsia="zh-CN"/>
              </w:rPr>
              <w:t>、</w:t>
            </w:r>
            <w:r>
              <w:rPr>
                <w:rFonts w:hint="eastAsia" w:eastAsia="仿宋_GB2312"/>
                <w:color w:val="auto"/>
                <w:sz w:val="24"/>
                <w:szCs w:val="22"/>
                <w:lang w:val="en-US" w:eastAsia="zh-CN"/>
              </w:rPr>
              <w:t>泵站</w:t>
            </w:r>
            <w:r>
              <w:rPr>
                <w:rFonts w:eastAsia="仿宋_GB2312"/>
                <w:color w:val="auto"/>
                <w:sz w:val="24"/>
                <w:szCs w:val="22"/>
              </w:rPr>
              <w:t>等产生的噪声</w:t>
            </w:r>
          </w:p>
        </w:tc>
        <w:tc>
          <w:tcPr>
            <w:tcW w:w="3009" w:type="dxa"/>
            <w:noWrap w:val="0"/>
            <w:vAlign w:val="center"/>
          </w:tcPr>
          <w:p>
            <w:pPr>
              <w:jc w:val="center"/>
              <w:rPr>
                <w:rFonts w:hint="eastAsia" w:eastAsia="仿宋_GB2312"/>
                <w:color w:val="auto"/>
                <w:sz w:val="24"/>
                <w:szCs w:val="22"/>
                <w:lang w:val="en-US" w:eastAsia="zh-CN"/>
              </w:rPr>
            </w:pPr>
            <w:r>
              <w:rPr>
                <w:rFonts w:hint="eastAsia" w:eastAsia="仿宋_GB2312"/>
                <w:color w:val="auto"/>
                <w:sz w:val="24"/>
                <w:szCs w:val="22"/>
                <w:lang w:val="en-US" w:eastAsia="zh-CN"/>
              </w:rPr>
              <w:t>70</w:t>
            </w:r>
            <w:r>
              <w:rPr>
                <w:rFonts w:eastAsia="仿宋_GB2312"/>
                <w:color w:val="auto"/>
                <w:sz w:val="24"/>
                <w:szCs w:val="22"/>
              </w:rPr>
              <w:t>~8</w:t>
            </w:r>
            <w:r>
              <w:rPr>
                <w:rFonts w:hint="eastAsia" w:eastAsia="仿宋_GB2312"/>
                <w:color w:val="auto"/>
                <w:sz w:val="24"/>
                <w:szCs w:val="22"/>
                <w:lang w:val="en-US" w:eastAsia="zh-CN"/>
              </w:rPr>
              <w:t>5</w:t>
            </w:r>
            <w:r>
              <w:rPr>
                <w:rFonts w:eastAsia="仿宋_GB2312"/>
                <w:color w:val="auto"/>
                <w:sz w:val="24"/>
                <w:szCs w:val="22"/>
              </w:rPr>
              <w:t>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atLeast"/>
          <w:jc w:val="center"/>
        </w:trPr>
        <w:tc>
          <w:tcPr>
            <w:tcW w:w="540" w:type="dxa"/>
            <w:noWrap w:val="0"/>
            <w:vAlign w:val="center"/>
          </w:tcPr>
          <w:p>
            <w:pPr>
              <w:jc w:val="center"/>
              <w:rPr>
                <w:rFonts w:hint="eastAsia" w:eastAsia="仿宋_GB2312"/>
                <w:color w:val="auto"/>
                <w:sz w:val="24"/>
                <w:lang w:val="en-US" w:eastAsia="zh-CN"/>
              </w:rPr>
            </w:pPr>
            <w:r>
              <w:rPr>
                <w:rFonts w:hint="eastAsia" w:eastAsia="仿宋_GB2312"/>
                <w:color w:val="auto"/>
                <w:sz w:val="24"/>
                <w:lang w:val="en-US" w:eastAsia="zh-CN"/>
              </w:rPr>
              <w:t>其他</w:t>
            </w:r>
          </w:p>
        </w:tc>
        <w:tc>
          <w:tcPr>
            <w:tcW w:w="8463" w:type="dxa"/>
            <w:gridSpan w:val="5"/>
            <w:noWrap w:val="0"/>
            <w:vAlign w:val="center"/>
          </w:tcPr>
          <w:p>
            <w:pPr>
              <w:pStyle w:val="24"/>
              <w:spacing w:line="400" w:lineRule="exact"/>
              <w:ind w:left="0" w:leftChars="0" w:firstLine="31" w:firstLineChars="13"/>
              <w:jc w:val="center"/>
              <w:rPr>
                <w:rFonts w:hint="default" w:ascii="Times New Roman" w:hAnsi="Times New Roman" w:eastAsia="仿宋_GB2312" w:cs="Times New Roman"/>
                <w:color w:val="auto"/>
                <w:kern w:val="2"/>
                <w:sz w:val="24"/>
                <w:szCs w:val="22"/>
                <w:lang w:val="en-US" w:eastAsia="zh-CN" w:bidi="ar-SA"/>
              </w:rPr>
            </w:pPr>
            <w:r>
              <w:rPr>
                <w:rFonts w:hint="eastAsia" w:ascii="Times New Roman" w:cs="Times New Roman"/>
                <w:color w:val="auto"/>
                <w:kern w:val="2"/>
                <w:sz w:val="24"/>
                <w:szCs w:val="22"/>
                <w:lang w:val="en-US" w:eastAsia="zh-CN" w:bidi="ar-SA"/>
              </w:rPr>
              <w:t>无</w:t>
            </w:r>
          </w:p>
        </w:tc>
      </w:tr>
    </w:tbl>
    <w:p>
      <w:pPr>
        <w:pageBreakBefore/>
        <w:ind w:right="-454"/>
        <w:outlineLvl w:val="0"/>
        <w:rPr>
          <w:rFonts w:hint="eastAsia" w:ascii="黑体" w:hAnsi="黑体" w:eastAsia="黑体" w:cs="黑体"/>
          <w:b w:val="0"/>
          <w:bCs/>
          <w:color w:val="auto"/>
          <w:sz w:val="28"/>
          <w:szCs w:val="28"/>
        </w:rPr>
      </w:pPr>
      <w:r>
        <w:rPr>
          <w:rFonts w:hint="eastAsia" w:ascii="黑体" w:hAnsi="黑体" w:eastAsia="黑体" w:cs="黑体"/>
          <w:b w:val="0"/>
          <w:bCs/>
          <w:color w:val="auto"/>
          <w:sz w:val="28"/>
          <w:szCs w:val="28"/>
        </w:rPr>
        <w:t>建设项目拟采取的防治措施及预期治理效果</w:t>
      </w:r>
    </w:p>
    <w:tbl>
      <w:tblPr>
        <w:tblStyle w:val="37"/>
        <w:tblW w:w="9322"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727"/>
        <w:gridCol w:w="2304"/>
        <w:gridCol w:w="2773"/>
        <w:gridCol w:w="1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851" w:type="dxa"/>
            <w:tcBorders>
              <w:tl2br w:val="single" w:color="auto" w:sz="4" w:space="0"/>
            </w:tcBorders>
            <w:noWrap w:val="0"/>
            <w:vAlign w:val="top"/>
          </w:tcPr>
          <w:p>
            <w:pPr>
              <w:rPr>
                <w:rFonts w:eastAsia="仿宋_GB2312"/>
                <w:color w:val="auto"/>
                <w:sz w:val="24"/>
              </w:rPr>
            </w:pPr>
            <w:r>
              <w:rPr>
                <w:rFonts w:eastAsia="仿宋_GB2312"/>
                <w:color w:val="auto"/>
                <w:sz w:val="24"/>
              </w:rPr>
              <w:t xml:space="preserve"> 内容</w:t>
            </w:r>
          </w:p>
          <w:p>
            <w:pPr>
              <w:rPr>
                <w:rFonts w:eastAsia="仿宋_GB2312"/>
                <w:color w:val="auto"/>
                <w:sz w:val="24"/>
              </w:rPr>
            </w:pPr>
            <w:r>
              <w:rPr>
                <w:rFonts w:eastAsia="仿宋_GB2312"/>
                <w:color w:val="auto"/>
                <w:sz w:val="24"/>
              </w:rPr>
              <w:t>类型</w:t>
            </w:r>
          </w:p>
        </w:tc>
        <w:tc>
          <w:tcPr>
            <w:tcW w:w="1727" w:type="dxa"/>
            <w:noWrap w:val="0"/>
            <w:vAlign w:val="center"/>
          </w:tcPr>
          <w:p>
            <w:pPr>
              <w:jc w:val="center"/>
              <w:rPr>
                <w:rFonts w:eastAsia="仿宋_GB2312"/>
                <w:color w:val="auto"/>
                <w:sz w:val="24"/>
              </w:rPr>
            </w:pPr>
            <w:r>
              <w:rPr>
                <w:rFonts w:eastAsia="仿宋_GB2312"/>
                <w:color w:val="auto"/>
                <w:sz w:val="24"/>
              </w:rPr>
              <w:t>排 放 源</w:t>
            </w:r>
          </w:p>
          <w:p>
            <w:pPr>
              <w:jc w:val="center"/>
              <w:rPr>
                <w:rFonts w:eastAsia="仿宋_GB2312"/>
                <w:color w:val="auto"/>
              </w:rPr>
            </w:pPr>
            <w:r>
              <w:rPr>
                <w:rFonts w:eastAsia="仿宋_GB2312"/>
                <w:color w:val="auto"/>
              </w:rPr>
              <w:t>（编  号）</w:t>
            </w:r>
          </w:p>
        </w:tc>
        <w:tc>
          <w:tcPr>
            <w:tcW w:w="2304" w:type="dxa"/>
            <w:noWrap w:val="0"/>
            <w:vAlign w:val="center"/>
          </w:tcPr>
          <w:p>
            <w:pPr>
              <w:jc w:val="center"/>
              <w:rPr>
                <w:rFonts w:eastAsia="仿宋_GB2312"/>
                <w:color w:val="auto"/>
                <w:sz w:val="24"/>
              </w:rPr>
            </w:pPr>
            <w:r>
              <w:rPr>
                <w:rFonts w:eastAsia="仿宋_GB2312"/>
                <w:color w:val="auto"/>
                <w:sz w:val="24"/>
              </w:rPr>
              <w:t>污染物名称</w:t>
            </w:r>
          </w:p>
        </w:tc>
        <w:tc>
          <w:tcPr>
            <w:tcW w:w="2773" w:type="dxa"/>
            <w:noWrap w:val="0"/>
            <w:vAlign w:val="center"/>
          </w:tcPr>
          <w:p>
            <w:pPr>
              <w:jc w:val="center"/>
              <w:rPr>
                <w:rFonts w:eastAsia="仿宋_GB2312"/>
                <w:color w:val="auto"/>
                <w:sz w:val="24"/>
              </w:rPr>
            </w:pPr>
            <w:r>
              <w:rPr>
                <w:rFonts w:eastAsia="仿宋_GB2312"/>
                <w:color w:val="auto"/>
                <w:sz w:val="24"/>
              </w:rPr>
              <w:t>防  治  措  施</w:t>
            </w:r>
          </w:p>
        </w:tc>
        <w:tc>
          <w:tcPr>
            <w:tcW w:w="1667" w:type="dxa"/>
            <w:noWrap w:val="0"/>
            <w:vAlign w:val="center"/>
          </w:tcPr>
          <w:p>
            <w:pPr>
              <w:jc w:val="center"/>
              <w:rPr>
                <w:rFonts w:eastAsia="仿宋_GB2312"/>
                <w:color w:val="auto"/>
                <w:sz w:val="24"/>
              </w:rPr>
            </w:pPr>
            <w:r>
              <w:rPr>
                <w:rFonts w:eastAsia="仿宋_GB2312"/>
                <w:color w:val="auto"/>
                <w:sz w:val="24"/>
              </w:rPr>
              <w:t>预期治理效果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5" w:hRule="atLeast"/>
        </w:trPr>
        <w:tc>
          <w:tcPr>
            <w:tcW w:w="851" w:type="dxa"/>
            <w:vMerge w:val="restart"/>
            <w:noWrap w:val="0"/>
            <w:vAlign w:val="center"/>
          </w:tcPr>
          <w:p>
            <w:pPr>
              <w:jc w:val="center"/>
              <w:rPr>
                <w:rFonts w:eastAsia="仿宋_GB2312"/>
                <w:color w:val="auto"/>
                <w:sz w:val="24"/>
              </w:rPr>
            </w:pPr>
            <w:r>
              <w:rPr>
                <w:rFonts w:eastAsia="仿宋_GB2312"/>
                <w:color w:val="auto"/>
                <w:sz w:val="24"/>
              </w:rPr>
              <w:t>大</w:t>
            </w:r>
          </w:p>
          <w:p>
            <w:pPr>
              <w:jc w:val="center"/>
              <w:rPr>
                <w:rFonts w:eastAsia="仿宋_GB2312"/>
                <w:color w:val="auto"/>
                <w:sz w:val="24"/>
              </w:rPr>
            </w:pPr>
            <w:r>
              <w:rPr>
                <w:rFonts w:eastAsia="仿宋_GB2312"/>
                <w:color w:val="auto"/>
                <w:sz w:val="24"/>
              </w:rPr>
              <w:t>气</w:t>
            </w:r>
          </w:p>
          <w:p>
            <w:pPr>
              <w:jc w:val="center"/>
              <w:rPr>
                <w:rFonts w:eastAsia="仿宋_GB2312"/>
                <w:color w:val="auto"/>
                <w:sz w:val="24"/>
              </w:rPr>
            </w:pPr>
            <w:r>
              <w:rPr>
                <w:rFonts w:eastAsia="仿宋_GB2312"/>
                <w:color w:val="auto"/>
                <w:sz w:val="24"/>
              </w:rPr>
              <w:t>污</w:t>
            </w:r>
          </w:p>
          <w:p>
            <w:pPr>
              <w:jc w:val="center"/>
              <w:rPr>
                <w:rFonts w:eastAsia="仿宋_GB2312"/>
                <w:color w:val="auto"/>
                <w:sz w:val="24"/>
              </w:rPr>
            </w:pPr>
            <w:r>
              <w:rPr>
                <w:rFonts w:eastAsia="仿宋_GB2312"/>
                <w:color w:val="auto"/>
                <w:sz w:val="24"/>
              </w:rPr>
              <w:t>染</w:t>
            </w:r>
          </w:p>
          <w:p>
            <w:pPr>
              <w:jc w:val="center"/>
              <w:rPr>
                <w:rFonts w:eastAsia="仿宋_GB2312"/>
                <w:color w:val="auto"/>
                <w:sz w:val="24"/>
              </w:rPr>
            </w:pPr>
            <w:r>
              <w:rPr>
                <w:rFonts w:eastAsia="仿宋_GB2312"/>
                <w:color w:val="auto"/>
                <w:sz w:val="24"/>
              </w:rPr>
              <w:t>物</w:t>
            </w:r>
          </w:p>
        </w:tc>
        <w:tc>
          <w:tcPr>
            <w:tcW w:w="1727" w:type="dxa"/>
            <w:noWrap w:val="0"/>
            <w:vAlign w:val="center"/>
          </w:tcPr>
          <w:p>
            <w:pPr>
              <w:rPr>
                <w:rFonts w:hint="default" w:ascii="Times New Roman" w:hAnsi="Times New Roman" w:eastAsia="宋体" w:cs="Times New Roman"/>
                <w:kern w:val="2"/>
                <w:sz w:val="24"/>
                <w:szCs w:val="24"/>
                <w:vertAlign w:val="baseline"/>
                <w:lang w:val="en-US" w:eastAsia="zh-CN" w:bidi="ar-SA"/>
              </w:rPr>
            </w:pPr>
            <w:r>
              <w:rPr>
                <w:rFonts w:hint="eastAsia" w:cs="Times New Roman"/>
                <w:kern w:val="2"/>
                <w:sz w:val="24"/>
                <w:szCs w:val="24"/>
                <w:vertAlign w:val="baseline"/>
                <w:lang w:val="en-US" w:eastAsia="zh-CN" w:bidi="ar-SA"/>
              </w:rPr>
              <w:t>提取、冷却</w:t>
            </w:r>
          </w:p>
        </w:tc>
        <w:tc>
          <w:tcPr>
            <w:tcW w:w="2304" w:type="dxa"/>
            <w:noWrap w:val="0"/>
            <w:vAlign w:val="center"/>
          </w:tcPr>
          <w:p>
            <w:pPr>
              <w:adjustRightInd w:val="0"/>
              <w:snapToGrid w:val="0"/>
              <w:spacing w:line="300" w:lineRule="exact"/>
              <w:jc w:val="center"/>
              <w:rPr>
                <w:rFonts w:hint="default" w:eastAsia="宋体"/>
                <w:bCs/>
                <w:color w:val="auto"/>
                <w:sz w:val="24"/>
                <w:szCs w:val="24"/>
                <w:lang w:val="en-US" w:eastAsia="zh-CN"/>
              </w:rPr>
            </w:pPr>
            <w:r>
              <w:rPr>
                <w:rFonts w:hint="eastAsia"/>
                <w:bCs/>
                <w:color w:val="auto"/>
                <w:sz w:val="24"/>
                <w:szCs w:val="24"/>
                <w:lang w:val="en-US" w:eastAsia="zh-CN"/>
              </w:rPr>
              <w:t>臭气浓度</w:t>
            </w:r>
          </w:p>
        </w:tc>
        <w:tc>
          <w:tcPr>
            <w:tcW w:w="2773" w:type="dxa"/>
            <w:noWrap w:val="0"/>
            <w:vAlign w:val="center"/>
          </w:tcPr>
          <w:p>
            <w:pPr>
              <w:adjustRightInd w:val="0"/>
              <w:snapToGrid w:val="0"/>
              <w:spacing w:line="300" w:lineRule="exact"/>
              <w:rPr>
                <w:bCs/>
                <w:color w:val="auto"/>
                <w:sz w:val="24"/>
                <w:szCs w:val="24"/>
              </w:rPr>
            </w:pPr>
            <w:r>
              <w:rPr>
                <w:rFonts w:hint="eastAsia" w:ascii="Times New Roman" w:hAnsi="Times New Roman" w:cs="Times New Roman"/>
                <w:sz w:val="24"/>
                <w:szCs w:val="24"/>
                <w:lang w:val="en-US" w:eastAsia="zh-CN"/>
              </w:rPr>
              <w:t>真空干燥机采用冷凝方式回收提取物</w:t>
            </w:r>
          </w:p>
        </w:tc>
        <w:tc>
          <w:tcPr>
            <w:tcW w:w="1667" w:type="dxa"/>
            <w:noWrap w:val="0"/>
            <w:vAlign w:val="center"/>
          </w:tcPr>
          <w:p>
            <w:pPr>
              <w:adjustRightInd w:val="0"/>
              <w:snapToGrid w:val="0"/>
              <w:spacing w:line="300" w:lineRule="exact"/>
              <w:rPr>
                <w:bCs/>
                <w:color w:val="auto"/>
                <w:sz w:val="24"/>
                <w:szCs w:val="24"/>
              </w:rPr>
            </w:pPr>
            <w:r>
              <w:rPr>
                <w:bCs/>
                <w:color w:val="auto"/>
                <w:sz w:val="24"/>
                <w:szCs w:val="24"/>
              </w:rPr>
              <w:t>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851" w:type="dxa"/>
            <w:vMerge w:val="continue"/>
            <w:tcBorders/>
            <w:noWrap w:val="0"/>
            <w:vAlign w:val="center"/>
          </w:tcPr>
          <w:p>
            <w:pPr>
              <w:jc w:val="center"/>
              <w:rPr>
                <w:rFonts w:eastAsia="仿宋_GB2312"/>
                <w:color w:val="auto"/>
                <w:sz w:val="24"/>
              </w:rPr>
            </w:pPr>
          </w:p>
        </w:tc>
        <w:tc>
          <w:tcPr>
            <w:tcW w:w="1727" w:type="dxa"/>
            <w:noWrap w:val="0"/>
            <w:vAlign w:val="center"/>
          </w:tcPr>
          <w:p>
            <w:pPr>
              <w:rPr>
                <w:rFonts w:hint="eastAsia" w:cs="Times New Roman"/>
                <w:kern w:val="2"/>
                <w:sz w:val="24"/>
                <w:szCs w:val="24"/>
                <w:vertAlign w:val="baseline"/>
                <w:lang w:val="en-US" w:eastAsia="zh-CN" w:bidi="ar-SA"/>
              </w:rPr>
            </w:pPr>
            <w:r>
              <w:rPr>
                <w:rFonts w:hint="eastAsia" w:cs="Times New Roman"/>
                <w:kern w:val="2"/>
                <w:sz w:val="24"/>
                <w:szCs w:val="24"/>
                <w:vertAlign w:val="baseline"/>
                <w:lang w:val="en-US" w:eastAsia="zh-CN" w:bidi="ar-SA"/>
              </w:rPr>
              <w:t>污水处理站</w:t>
            </w:r>
          </w:p>
        </w:tc>
        <w:tc>
          <w:tcPr>
            <w:tcW w:w="2304" w:type="dxa"/>
            <w:noWrap w:val="0"/>
            <w:vAlign w:val="center"/>
          </w:tcPr>
          <w:p>
            <w:pPr>
              <w:adjustRightInd w:val="0"/>
              <w:snapToGrid w:val="0"/>
              <w:spacing w:line="300" w:lineRule="exact"/>
              <w:jc w:val="center"/>
              <w:rPr>
                <w:rFonts w:hint="eastAsia"/>
                <w:bCs/>
                <w:color w:val="auto"/>
                <w:sz w:val="24"/>
                <w:szCs w:val="24"/>
                <w:lang w:val="en-US" w:eastAsia="zh-CN"/>
              </w:rPr>
            </w:pPr>
            <w:r>
              <w:rPr>
                <w:rFonts w:hint="eastAsia"/>
                <w:bCs/>
                <w:color w:val="auto"/>
                <w:sz w:val="24"/>
                <w:szCs w:val="24"/>
                <w:lang w:val="en-US" w:eastAsia="zh-CN"/>
              </w:rPr>
              <w:t>H</w:t>
            </w:r>
            <w:r>
              <w:rPr>
                <w:rFonts w:hint="eastAsia"/>
                <w:bCs/>
                <w:color w:val="auto"/>
                <w:sz w:val="24"/>
                <w:szCs w:val="24"/>
                <w:vertAlign w:val="subscript"/>
                <w:lang w:val="en-US" w:eastAsia="zh-CN"/>
              </w:rPr>
              <w:t>2</w:t>
            </w:r>
            <w:r>
              <w:rPr>
                <w:rFonts w:hint="eastAsia"/>
                <w:bCs/>
                <w:color w:val="auto"/>
                <w:sz w:val="24"/>
                <w:szCs w:val="24"/>
                <w:lang w:val="en-US" w:eastAsia="zh-CN"/>
              </w:rPr>
              <w:t>S、NH</w:t>
            </w:r>
            <w:r>
              <w:rPr>
                <w:rFonts w:hint="eastAsia"/>
                <w:bCs/>
                <w:color w:val="auto"/>
                <w:sz w:val="24"/>
                <w:szCs w:val="24"/>
                <w:vertAlign w:val="subscript"/>
                <w:lang w:val="en-US" w:eastAsia="zh-CN"/>
              </w:rPr>
              <w:t>3</w:t>
            </w:r>
            <w:r>
              <w:rPr>
                <w:rFonts w:hint="eastAsia"/>
                <w:bCs/>
                <w:color w:val="auto"/>
                <w:sz w:val="24"/>
                <w:szCs w:val="24"/>
                <w:lang w:val="en-US" w:eastAsia="zh-CN"/>
              </w:rPr>
              <w:t>、臭气浓度</w:t>
            </w:r>
          </w:p>
        </w:tc>
        <w:tc>
          <w:tcPr>
            <w:tcW w:w="2773" w:type="dxa"/>
            <w:noWrap w:val="0"/>
            <w:vAlign w:val="center"/>
          </w:tcPr>
          <w:p>
            <w:pPr>
              <w:adjustRightInd w:val="0"/>
              <w:snapToGrid w:val="0"/>
              <w:spacing w:line="300" w:lineRule="exact"/>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产生异味气体的污水池加盖封闭</w:t>
            </w:r>
          </w:p>
        </w:tc>
        <w:tc>
          <w:tcPr>
            <w:tcW w:w="1667" w:type="dxa"/>
            <w:noWrap w:val="0"/>
            <w:vAlign w:val="center"/>
          </w:tcPr>
          <w:p>
            <w:pPr>
              <w:adjustRightInd w:val="0"/>
              <w:snapToGrid w:val="0"/>
              <w:spacing w:line="300" w:lineRule="exact"/>
              <w:rPr>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5" w:hRule="atLeast"/>
        </w:trPr>
        <w:tc>
          <w:tcPr>
            <w:tcW w:w="851" w:type="dxa"/>
            <w:noWrap w:val="0"/>
            <w:vAlign w:val="center"/>
          </w:tcPr>
          <w:p>
            <w:pPr>
              <w:jc w:val="center"/>
              <w:rPr>
                <w:rFonts w:eastAsia="仿宋_GB2312"/>
                <w:color w:val="auto"/>
                <w:sz w:val="24"/>
              </w:rPr>
            </w:pPr>
            <w:r>
              <w:rPr>
                <w:rFonts w:eastAsia="仿宋_GB2312"/>
                <w:color w:val="auto"/>
                <w:sz w:val="24"/>
              </w:rPr>
              <w:t>水</w:t>
            </w:r>
          </w:p>
          <w:p>
            <w:pPr>
              <w:jc w:val="center"/>
              <w:rPr>
                <w:rFonts w:eastAsia="仿宋_GB2312"/>
                <w:color w:val="auto"/>
                <w:sz w:val="24"/>
              </w:rPr>
            </w:pPr>
            <w:r>
              <w:rPr>
                <w:rFonts w:eastAsia="仿宋_GB2312"/>
                <w:color w:val="auto"/>
                <w:sz w:val="24"/>
              </w:rPr>
              <w:t>污</w:t>
            </w:r>
          </w:p>
          <w:p>
            <w:pPr>
              <w:jc w:val="center"/>
              <w:rPr>
                <w:rFonts w:eastAsia="仿宋_GB2312"/>
                <w:color w:val="auto"/>
                <w:sz w:val="24"/>
              </w:rPr>
            </w:pPr>
            <w:r>
              <w:rPr>
                <w:rFonts w:eastAsia="仿宋_GB2312"/>
                <w:color w:val="auto"/>
                <w:sz w:val="24"/>
              </w:rPr>
              <w:t>染</w:t>
            </w:r>
          </w:p>
          <w:p>
            <w:pPr>
              <w:jc w:val="center"/>
              <w:rPr>
                <w:rFonts w:eastAsia="仿宋_GB2312"/>
                <w:color w:val="auto"/>
                <w:sz w:val="24"/>
              </w:rPr>
            </w:pPr>
            <w:r>
              <w:rPr>
                <w:rFonts w:eastAsia="仿宋_GB2312"/>
                <w:color w:val="auto"/>
                <w:sz w:val="24"/>
              </w:rPr>
              <w:t>物</w:t>
            </w:r>
          </w:p>
        </w:tc>
        <w:tc>
          <w:tcPr>
            <w:tcW w:w="1727" w:type="dxa"/>
            <w:noWrap w:val="0"/>
            <w:vAlign w:val="center"/>
          </w:tcPr>
          <w:p>
            <w:pPr>
              <w:adjustRightInd w:val="0"/>
              <w:snapToGrid w:val="0"/>
              <w:spacing w:line="300" w:lineRule="exact"/>
              <w:jc w:val="center"/>
              <w:rPr>
                <w:bCs/>
                <w:color w:val="auto"/>
                <w:sz w:val="24"/>
                <w:szCs w:val="24"/>
              </w:rPr>
            </w:pPr>
            <w:r>
              <w:rPr>
                <w:bCs/>
                <w:color w:val="auto"/>
                <w:sz w:val="24"/>
                <w:szCs w:val="24"/>
              </w:rPr>
              <w:t>清洗废水</w:t>
            </w:r>
          </w:p>
          <w:p>
            <w:pPr>
              <w:adjustRightInd w:val="0"/>
              <w:snapToGrid w:val="0"/>
              <w:spacing w:line="300" w:lineRule="exact"/>
              <w:jc w:val="center"/>
              <w:rPr>
                <w:bCs/>
                <w:color w:val="auto"/>
                <w:sz w:val="24"/>
                <w:szCs w:val="24"/>
              </w:rPr>
            </w:pPr>
            <w:r>
              <w:rPr>
                <w:bCs/>
                <w:color w:val="auto"/>
                <w:sz w:val="24"/>
                <w:szCs w:val="24"/>
              </w:rPr>
              <w:t>纯水制备浓排水及生活污水</w:t>
            </w:r>
          </w:p>
        </w:tc>
        <w:tc>
          <w:tcPr>
            <w:tcW w:w="2304" w:type="dxa"/>
            <w:noWrap w:val="0"/>
            <w:vAlign w:val="center"/>
          </w:tcPr>
          <w:p>
            <w:pPr>
              <w:autoSpaceDE w:val="0"/>
              <w:autoSpaceDN w:val="0"/>
              <w:adjustRightInd w:val="0"/>
              <w:snapToGrid w:val="0"/>
              <w:rPr>
                <w:color w:val="auto"/>
                <w:kern w:val="0"/>
                <w:sz w:val="24"/>
                <w:szCs w:val="24"/>
              </w:rPr>
            </w:pPr>
            <w:r>
              <w:rPr>
                <w:color w:val="auto"/>
                <w:kern w:val="0"/>
                <w:sz w:val="24"/>
                <w:szCs w:val="24"/>
              </w:rPr>
              <w:t>COD</w:t>
            </w:r>
            <w:r>
              <w:rPr>
                <w:color w:val="auto"/>
                <w:kern w:val="0"/>
                <w:sz w:val="24"/>
                <w:szCs w:val="24"/>
                <w:vertAlign w:val="subscript"/>
              </w:rPr>
              <w:t>cr</w:t>
            </w:r>
            <w:r>
              <w:rPr>
                <w:color w:val="auto"/>
                <w:kern w:val="0"/>
                <w:sz w:val="24"/>
                <w:szCs w:val="24"/>
              </w:rPr>
              <w:t>、BOD</w:t>
            </w:r>
            <w:r>
              <w:rPr>
                <w:color w:val="auto"/>
                <w:kern w:val="0"/>
                <w:sz w:val="24"/>
                <w:szCs w:val="24"/>
                <w:vertAlign w:val="subscript"/>
              </w:rPr>
              <w:t>5</w:t>
            </w:r>
            <w:r>
              <w:rPr>
                <w:color w:val="auto"/>
                <w:kern w:val="0"/>
                <w:sz w:val="24"/>
                <w:szCs w:val="24"/>
              </w:rPr>
              <w:t>、SS、NH</w:t>
            </w:r>
            <w:r>
              <w:rPr>
                <w:color w:val="auto"/>
                <w:kern w:val="0"/>
                <w:sz w:val="24"/>
                <w:szCs w:val="24"/>
                <w:vertAlign w:val="subscript"/>
              </w:rPr>
              <w:t>3</w:t>
            </w:r>
            <w:r>
              <w:rPr>
                <w:color w:val="auto"/>
                <w:kern w:val="0"/>
                <w:sz w:val="24"/>
                <w:szCs w:val="24"/>
              </w:rPr>
              <w:t>-N</w:t>
            </w:r>
          </w:p>
          <w:p>
            <w:pPr>
              <w:autoSpaceDE w:val="0"/>
              <w:autoSpaceDN w:val="0"/>
              <w:adjustRightInd w:val="0"/>
              <w:snapToGrid w:val="0"/>
              <w:rPr>
                <w:color w:val="auto"/>
                <w:kern w:val="0"/>
                <w:sz w:val="24"/>
                <w:szCs w:val="24"/>
              </w:rPr>
            </w:pPr>
          </w:p>
        </w:tc>
        <w:tc>
          <w:tcPr>
            <w:tcW w:w="2773" w:type="dxa"/>
            <w:noWrap w:val="0"/>
            <w:vAlign w:val="center"/>
          </w:tcPr>
          <w:p>
            <w:pPr>
              <w:spacing w:line="300" w:lineRule="exact"/>
              <w:jc w:val="left"/>
              <w:rPr>
                <w:color w:val="auto"/>
                <w:sz w:val="24"/>
                <w:szCs w:val="24"/>
              </w:rPr>
            </w:pPr>
            <w:r>
              <w:rPr>
                <w:color w:val="auto"/>
                <w:sz w:val="24"/>
                <w:szCs w:val="24"/>
              </w:rPr>
              <w:t>清洗废水</w:t>
            </w:r>
            <w:r>
              <w:rPr>
                <w:rFonts w:hint="eastAsia"/>
                <w:color w:val="auto"/>
                <w:sz w:val="24"/>
                <w:szCs w:val="24"/>
                <w:lang w:val="en-US" w:eastAsia="zh-CN"/>
              </w:rPr>
              <w:t>经</w:t>
            </w:r>
            <w:r>
              <w:rPr>
                <w:color w:val="auto"/>
                <w:sz w:val="24"/>
                <w:szCs w:val="24"/>
              </w:rPr>
              <w:t>污水处理</w:t>
            </w:r>
            <w:r>
              <w:rPr>
                <w:rFonts w:hint="eastAsia"/>
                <w:color w:val="auto"/>
                <w:sz w:val="24"/>
                <w:szCs w:val="24"/>
                <w:lang w:val="en-US" w:eastAsia="zh-CN"/>
              </w:rPr>
              <w:t>设施</w:t>
            </w:r>
            <w:r>
              <w:rPr>
                <w:color w:val="auto"/>
                <w:sz w:val="24"/>
                <w:szCs w:val="24"/>
              </w:rPr>
              <w:t>处理后，</w:t>
            </w:r>
            <w:r>
              <w:rPr>
                <w:rFonts w:hint="eastAsia"/>
                <w:color w:val="auto"/>
                <w:sz w:val="24"/>
                <w:szCs w:val="24"/>
                <w:lang w:val="en-US" w:eastAsia="zh-CN"/>
              </w:rPr>
              <w:t>与预处理后的生活污水</w:t>
            </w:r>
            <w:r>
              <w:rPr>
                <w:color w:val="auto"/>
                <w:sz w:val="24"/>
                <w:szCs w:val="24"/>
              </w:rPr>
              <w:t>排入市政污水管</w:t>
            </w:r>
          </w:p>
        </w:tc>
        <w:tc>
          <w:tcPr>
            <w:tcW w:w="1667" w:type="dxa"/>
            <w:noWrap w:val="0"/>
            <w:vAlign w:val="center"/>
          </w:tcPr>
          <w:p>
            <w:pPr>
              <w:rPr>
                <w:color w:val="auto"/>
                <w:sz w:val="24"/>
                <w:szCs w:val="24"/>
              </w:rPr>
            </w:pPr>
            <w:r>
              <w:rPr>
                <w:bCs/>
                <w:color w:val="auto"/>
                <w:sz w:val="24"/>
                <w:szCs w:val="24"/>
              </w:rPr>
              <w:t>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6" w:hRule="atLeast"/>
        </w:trPr>
        <w:tc>
          <w:tcPr>
            <w:tcW w:w="851" w:type="dxa"/>
            <w:vMerge w:val="restart"/>
            <w:noWrap w:val="0"/>
            <w:vAlign w:val="center"/>
          </w:tcPr>
          <w:p>
            <w:pPr>
              <w:jc w:val="center"/>
              <w:rPr>
                <w:rFonts w:eastAsia="仿宋_GB2312"/>
                <w:color w:val="auto"/>
                <w:sz w:val="24"/>
              </w:rPr>
            </w:pPr>
            <w:r>
              <w:rPr>
                <w:rFonts w:eastAsia="仿宋_GB2312"/>
                <w:color w:val="auto"/>
                <w:sz w:val="24"/>
              </w:rPr>
              <w:t>固</w:t>
            </w:r>
          </w:p>
          <w:p>
            <w:pPr>
              <w:jc w:val="center"/>
              <w:rPr>
                <w:rFonts w:eastAsia="仿宋_GB2312"/>
                <w:color w:val="auto"/>
                <w:sz w:val="24"/>
              </w:rPr>
            </w:pPr>
            <w:r>
              <w:rPr>
                <w:rFonts w:eastAsia="仿宋_GB2312"/>
                <w:color w:val="auto"/>
                <w:sz w:val="24"/>
              </w:rPr>
              <w:t>体</w:t>
            </w:r>
          </w:p>
          <w:p>
            <w:pPr>
              <w:jc w:val="center"/>
              <w:rPr>
                <w:rFonts w:eastAsia="仿宋_GB2312"/>
                <w:color w:val="auto"/>
                <w:sz w:val="24"/>
              </w:rPr>
            </w:pPr>
            <w:r>
              <w:rPr>
                <w:rFonts w:eastAsia="仿宋_GB2312"/>
                <w:color w:val="auto"/>
                <w:sz w:val="24"/>
              </w:rPr>
              <w:t>废</w:t>
            </w:r>
          </w:p>
          <w:p>
            <w:pPr>
              <w:jc w:val="center"/>
              <w:rPr>
                <w:rFonts w:eastAsia="仿宋_GB2312"/>
                <w:color w:val="auto"/>
                <w:sz w:val="24"/>
              </w:rPr>
            </w:pPr>
            <w:r>
              <w:rPr>
                <w:rFonts w:eastAsia="仿宋_GB2312"/>
                <w:color w:val="auto"/>
                <w:sz w:val="24"/>
              </w:rPr>
              <w:t>物</w:t>
            </w:r>
          </w:p>
        </w:tc>
        <w:tc>
          <w:tcPr>
            <w:tcW w:w="1727" w:type="dxa"/>
            <w:noWrap w:val="0"/>
            <w:vAlign w:val="center"/>
          </w:tcPr>
          <w:p>
            <w:pPr>
              <w:adjustRightInd w:val="0"/>
              <w:snapToGrid w:val="0"/>
              <w:spacing w:line="300" w:lineRule="exact"/>
              <w:jc w:val="center"/>
              <w:rPr>
                <w:rFonts w:hint="default" w:eastAsia="宋体"/>
                <w:bCs/>
                <w:color w:val="auto"/>
                <w:sz w:val="24"/>
                <w:szCs w:val="24"/>
                <w:lang w:val="en-US" w:eastAsia="zh-CN"/>
              </w:rPr>
            </w:pPr>
            <w:r>
              <w:rPr>
                <w:rFonts w:hint="eastAsia"/>
                <w:bCs/>
                <w:color w:val="auto"/>
                <w:sz w:val="24"/>
                <w:szCs w:val="24"/>
                <w:lang w:val="en-US" w:eastAsia="zh-CN"/>
              </w:rPr>
              <w:t>提取</w:t>
            </w:r>
          </w:p>
        </w:tc>
        <w:tc>
          <w:tcPr>
            <w:tcW w:w="2304" w:type="dxa"/>
            <w:noWrap w:val="0"/>
            <w:vAlign w:val="center"/>
          </w:tcPr>
          <w:p>
            <w:pPr>
              <w:spacing w:line="240" w:lineRule="atLeast"/>
              <w:jc w:val="center"/>
              <w:rPr>
                <w:color w:val="auto"/>
                <w:sz w:val="24"/>
                <w:szCs w:val="24"/>
              </w:rPr>
            </w:pPr>
            <w:r>
              <w:rPr>
                <w:rFonts w:hint="eastAsia"/>
                <w:bCs/>
                <w:color w:val="auto"/>
                <w:sz w:val="24"/>
                <w:szCs w:val="24"/>
                <w:lang w:val="en-US" w:eastAsia="zh-CN"/>
              </w:rPr>
              <w:t>植物残渣</w:t>
            </w:r>
          </w:p>
        </w:tc>
        <w:tc>
          <w:tcPr>
            <w:tcW w:w="2773" w:type="dxa"/>
            <w:noWrap w:val="0"/>
            <w:vAlign w:val="center"/>
          </w:tcPr>
          <w:p>
            <w:pPr>
              <w:rPr>
                <w:color w:val="auto"/>
                <w:sz w:val="24"/>
                <w:szCs w:val="24"/>
              </w:rPr>
            </w:pPr>
            <w:r>
              <w:rPr>
                <w:rFonts w:hint="eastAsia"/>
                <w:color w:val="auto"/>
                <w:sz w:val="24"/>
                <w:szCs w:val="24"/>
                <w:lang w:val="en-US" w:eastAsia="zh-CN"/>
              </w:rPr>
              <w:t>由</w:t>
            </w:r>
            <w:r>
              <w:rPr>
                <w:rFonts w:hint="eastAsia" w:ascii="宋体" w:hAnsi="宋体" w:cs="宋体"/>
                <w:spacing w:val="2"/>
                <w:sz w:val="24"/>
                <w:szCs w:val="24"/>
                <w:lang w:val="en-US" w:eastAsia="zh-CN"/>
              </w:rPr>
              <w:t>相关食品单位回收利用</w:t>
            </w:r>
          </w:p>
        </w:tc>
        <w:tc>
          <w:tcPr>
            <w:tcW w:w="1667" w:type="dxa"/>
            <w:vMerge w:val="restart"/>
            <w:noWrap w:val="0"/>
            <w:vAlign w:val="center"/>
          </w:tcPr>
          <w:p>
            <w:pPr>
              <w:spacing w:line="400" w:lineRule="exact"/>
              <w:rPr>
                <w:color w:val="auto"/>
                <w:sz w:val="24"/>
                <w:szCs w:val="24"/>
              </w:rPr>
            </w:pPr>
            <w:r>
              <w:rPr>
                <w:color w:val="auto"/>
                <w:sz w:val="24"/>
                <w:szCs w:val="24"/>
              </w:rPr>
              <w:t>固体废物能够得到妥善处置，不产生二次污染。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trPr>
        <w:tc>
          <w:tcPr>
            <w:tcW w:w="851" w:type="dxa"/>
            <w:vMerge w:val="continue"/>
            <w:noWrap w:val="0"/>
            <w:vAlign w:val="center"/>
          </w:tcPr>
          <w:p>
            <w:pPr>
              <w:jc w:val="center"/>
              <w:rPr>
                <w:rFonts w:eastAsia="仿宋_GB2312"/>
                <w:color w:val="auto"/>
                <w:sz w:val="24"/>
              </w:rPr>
            </w:pPr>
          </w:p>
        </w:tc>
        <w:tc>
          <w:tcPr>
            <w:tcW w:w="1727" w:type="dxa"/>
            <w:noWrap w:val="0"/>
            <w:vAlign w:val="center"/>
          </w:tcPr>
          <w:p>
            <w:pPr>
              <w:adjustRightInd w:val="0"/>
              <w:snapToGrid w:val="0"/>
              <w:spacing w:line="300" w:lineRule="exact"/>
              <w:jc w:val="center"/>
              <w:rPr>
                <w:rFonts w:hint="default"/>
                <w:bCs/>
                <w:color w:val="auto"/>
                <w:sz w:val="24"/>
                <w:szCs w:val="24"/>
                <w:lang w:val="en-US" w:eastAsia="zh-CN"/>
              </w:rPr>
            </w:pPr>
            <w:r>
              <w:rPr>
                <w:rFonts w:hint="eastAsia"/>
                <w:bCs/>
                <w:color w:val="auto"/>
                <w:sz w:val="24"/>
                <w:szCs w:val="24"/>
                <w:lang w:val="en-US" w:eastAsia="zh-CN"/>
              </w:rPr>
              <w:t>分拣</w:t>
            </w:r>
          </w:p>
        </w:tc>
        <w:tc>
          <w:tcPr>
            <w:tcW w:w="2304" w:type="dxa"/>
            <w:noWrap w:val="0"/>
            <w:vAlign w:val="center"/>
          </w:tcPr>
          <w:p>
            <w:pPr>
              <w:spacing w:line="240" w:lineRule="atLeast"/>
              <w:jc w:val="center"/>
              <w:rPr>
                <w:rFonts w:hint="default"/>
                <w:color w:val="auto"/>
                <w:sz w:val="24"/>
                <w:szCs w:val="24"/>
                <w:lang w:val="en-US" w:eastAsia="zh-CN"/>
              </w:rPr>
            </w:pPr>
            <w:r>
              <w:rPr>
                <w:rFonts w:hint="eastAsia"/>
                <w:color w:val="auto"/>
                <w:sz w:val="24"/>
                <w:szCs w:val="24"/>
                <w:lang w:val="en-US" w:eastAsia="zh-CN"/>
              </w:rPr>
              <w:t>不合格原料</w:t>
            </w:r>
          </w:p>
        </w:tc>
        <w:tc>
          <w:tcPr>
            <w:tcW w:w="2773" w:type="dxa"/>
            <w:vMerge w:val="restart"/>
            <w:noWrap w:val="0"/>
            <w:vAlign w:val="center"/>
          </w:tcPr>
          <w:p>
            <w:pPr>
              <w:spacing w:line="240" w:lineRule="atLeast"/>
              <w:rPr>
                <w:color w:val="auto"/>
                <w:sz w:val="24"/>
                <w:szCs w:val="24"/>
              </w:rPr>
            </w:pPr>
            <w:r>
              <w:rPr>
                <w:color w:val="auto"/>
                <w:sz w:val="24"/>
                <w:szCs w:val="24"/>
              </w:rPr>
              <w:t>城市环卫部门定期处理</w:t>
            </w:r>
          </w:p>
        </w:tc>
        <w:tc>
          <w:tcPr>
            <w:tcW w:w="1667" w:type="dxa"/>
            <w:vMerge w:val="continue"/>
            <w:noWrap w:val="0"/>
            <w:vAlign w:val="center"/>
          </w:tcPr>
          <w:p>
            <w:pPr>
              <w:spacing w:line="400" w:lineRule="exact"/>
              <w:jc w:val="center"/>
              <w:rPr>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trPr>
        <w:tc>
          <w:tcPr>
            <w:tcW w:w="851" w:type="dxa"/>
            <w:vMerge w:val="continue"/>
            <w:noWrap w:val="0"/>
            <w:vAlign w:val="center"/>
          </w:tcPr>
          <w:p>
            <w:pPr>
              <w:jc w:val="center"/>
              <w:rPr>
                <w:rFonts w:eastAsia="仿宋_GB2312"/>
                <w:color w:val="auto"/>
                <w:sz w:val="24"/>
              </w:rPr>
            </w:pPr>
          </w:p>
        </w:tc>
        <w:tc>
          <w:tcPr>
            <w:tcW w:w="1727" w:type="dxa"/>
            <w:noWrap w:val="0"/>
            <w:vAlign w:val="center"/>
          </w:tcPr>
          <w:p>
            <w:pPr>
              <w:adjustRightInd w:val="0"/>
              <w:snapToGrid w:val="0"/>
              <w:spacing w:line="300" w:lineRule="exact"/>
              <w:jc w:val="center"/>
              <w:rPr>
                <w:rFonts w:hint="default" w:eastAsia="宋体"/>
                <w:bCs/>
                <w:color w:val="auto"/>
                <w:sz w:val="24"/>
                <w:szCs w:val="24"/>
                <w:lang w:val="en-US" w:eastAsia="zh-CN"/>
              </w:rPr>
            </w:pPr>
            <w:r>
              <w:rPr>
                <w:rFonts w:hint="eastAsia"/>
                <w:bCs/>
                <w:color w:val="auto"/>
                <w:sz w:val="24"/>
                <w:szCs w:val="24"/>
                <w:lang w:val="en-US" w:eastAsia="zh-CN"/>
              </w:rPr>
              <w:t>废水处理</w:t>
            </w:r>
          </w:p>
        </w:tc>
        <w:tc>
          <w:tcPr>
            <w:tcW w:w="2304" w:type="dxa"/>
            <w:noWrap w:val="0"/>
            <w:vAlign w:val="center"/>
          </w:tcPr>
          <w:p>
            <w:pPr>
              <w:spacing w:line="240" w:lineRule="atLeast"/>
              <w:jc w:val="center"/>
              <w:rPr>
                <w:rFonts w:hint="default" w:eastAsia="宋体"/>
                <w:color w:val="auto"/>
                <w:sz w:val="24"/>
                <w:szCs w:val="24"/>
                <w:lang w:val="en-US" w:eastAsia="zh-CN"/>
              </w:rPr>
            </w:pPr>
            <w:r>
              <w:rPr>
                <w:rFonts w:hint="eastAsia"/>
                <w:color w:val="auto"/>
                <w:sz w:val="24"/>
                <w:szCs w:val="24"/>
                <w:lang w:val="en-US" w:eastAsia="zh-CN"/>
              </w:rPr>
              <w:t>污泥</w:t>
            </w:r>
          </w:p>
        </w:tc>
        <w:tc>
          <w:tcPr>
            <w:tcW w:w="2773" w:type="dxa"/>
            <w:vMerge w:val="continue"/>
            <w:noWrap w:val="0"/>
            <w:vAlign w:val="center"/>
          </w:tcPr>
          <w:p>
            <w:pPr>
              <w:spacing w:line="240" w:lineRule="atLeast"/>
              <w:rPr>
                <w:color w:val="auto"/>
                <w:sz w:val="24"/>
                <w:szCs w:val="24"/>
              </w:rPr>
            </w:pPr>
          </w:p>
        </w:tc>
        <w:tc>
          <w:tcPr>
            <w:tcW w:w="1667" w:type="dxa"/>
            <w:vMerge w:val="continue"/>
            <w:noWrap w:val="0"/>
            <w:vAlign w:val="center"/>
          </w:tcPr>
          <w:p>
            <w:pPr>
              <w:spacing w:line="400" w:lineRule="exact"/>
              <w:jc w:val="center"/>
              <w:rPr>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trPr>
        <w:tc>
          <w:tcPr>
            <w:tcW w:w="851" w:type="dxa"/>
            <w:vMerge w:val="continue"/>
            <w:noWrap w:val="0"/>
            <w:vAlign w:val="center"/>
          </w:tcPr>
          <w:p>
            <w:pPr>
              <w:jc w:val="center"/>
              <w:rPr>
                <w:rFonts w:eastAsia="仿宋_GB2312"/>
                <w:color w:val="auto"/>
                <w:sz w:val="24"/>
              </w:rPr>
            </w:pPr>
          </w:p>
        </w:tc>
        <w:tc>
          <w:tcPr>
            <w:tcW w:w="1727" w:type="dxa"/>
            <w:noWrap w:val="0"/>
            <w:vAlign w:val="center"/>
          </w:tcPr>
          <w:p>
            <w:pPr>
              <w:adjustRightInd w:val="0"/>
              <w:snapToGrid w:val="0"/>
              <w:spacing w:line="300" w:lineRule="exact"/>
              <w:jc w:val="center"/>
              <w:rPr>
                <w:bCs/>
                <w:color w:val="auto"/>
                <w:sz w:val="24"/>
                <w:szCs w:val="24"/>
              </w:rPr>
            </w:pPr>
            <w:r>
              <w:rPr>
                <w:bCs/>
                <w:color w:val="auto"/>
                <w:sz w:val="24"/>
                <w:szCs w:val="24"/>
              </w:rPr>
              <w:t>生活</w:t>
            </w:r>
          </w:p>
        </w:tc>
        <w:tc>
          <w:tcPr>
            <w:tcW w:w="2304" w:type="dxa"/>
            <w:noWrap w:val="0"/>
            <w:vAlign w:val="center"/>
          </w:tcPr>
          <w:p>
            <w:pPr>
              <w:spacing w:line="240" w:lineRule="atLeast"/>
              <w:jc w:val="center"/>
              <w:rPr>
                <w:color w:val="auto"/>
                <w:sz w:val="24"/>
                <w:szCs w:val="24"/>
              </w:rPr>
            </w:pPr>
            <w:r>
              <w:rPr>
                <w:color w:val="auto"/>
                <w:sz w:val="24"/>
                <w:szCs w:val="24"/>
              </w:rPr>
              <w:t>生活垃圾</w:t>
            </w:r>
          </w:p>
        </w:tc>
        <w:tc>
          <w:tcPr>
            <w:tcW w:w="2773" w:type="dxa"/>
            <w:vMerge w:val="continue"/>
            <w:noWrap w:val="0"/>
            <w:vAlign w:val="center"/>
          </w:tcPr>
          <w:p>
            <w:pPr>
              <w:spacing w:line="240" w:lineRule="atLeast"/>
              <w:rPr>
                <w:color w:val="auto"/>
                <w:sz w:val="24"/>
                <w:szCs w:val="24"/>
              </w:rPr>
            </w:pPr>
          </w:p>
        </w:tc>
        <w:tc>
          <w:tcPr>
            <w:tcW w:w="1667" w:type="dxa"/>
            <w:vMerge w:val="continue"/>
            <w:noWrap w:val="0"/>
            <w:vAlign w:val="center"/>
          </w:tcPr>
          <w:p>
            <w:pPr>
              <w:spacing w:line="400" w:lineRule="exact"/>
              <w:jc w:val="center"/>
              <w:rPr>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7" w:hRule="atLeast"/>
        </w:trPr>
        <w:tc>
          <w:tcPr>
            <w:tcW w:w="851" w:type="dxa"/>
            <w:noWrap w:val="0"/>
            <w:vAlign w:val="center"/>
          </w:tcPr>
          <w:p>
            <w:pPr>
              <w:jc w:val="center"/>
              <w:rPr>
                <w:rFonts w:eastAsia="仿宋_GB2312"/>
                <w:color w:val="auto"/>
                <w:sz w:val="24"/>
              </w:rPr>
            </w:pPr>
            <w:r>
              <w:rPr>
                <w:rFonts w:eastAsia="仿宋_GB2312"/>
                <w:color w:val="auto"/>
                <w:sz w:val="24"/>
              </w:rPr>
              <w:t>噪</w:t>
            </w:r>
          </w:p>
          <w:p>
            <w:pPr>
              <w:jc w:val="center"/>
              <w:rPr>
                <w:rFonts w:eastAsia="仿宋_GB2312"/>
                <w:color w:val="auto"/>
                <w:sz w:val="24"/>
              </w:rPr>
            </w:pPr>
            <w:r>
              <w:rPr>
                <w:rFonts w:eastAsia="仿宋_GB2312"/>
                <w:color w:val="auto"/>
                <w:sz w:val="24"/>
              </w:rPr>
              <w:t>声</w:t>
            </w:r>
          </w:p>
        </w:tc>
        <w:tc>
          <w:tcPr>
            <w:tcW w:w="8471" w:type="dxa"/>
            <w:gridSpan w:val="4"/>
            <w:noWrap w:val="0"/>
            <w:vAlign w:val="center"/>
          </w:tcPr>
          <w:p>
            <w:pPr>
              <w:spacing w:line="380" w:lineRule="exact"/>
              <w:rPr>
                <w:color w:val="auto"/>
                <w:sz w:val="24"/>
                <w:szCs w:val="24"/>
              </w:rPr>
            </w:pPr>
            <w:r>
              <w:rPr>
                <w:rFonts w:hint="eastAsia"/>
                <w:color w:val="auto"/>
                <w:sz w:val="24"/>
                <w:szCs w:val="24"/>
                <w:lang w:val="en-US" w:eastAsia="zh-CN"/>
              </w:rPr>
              <w:t>生产</w:t>
            </w:r>
            <w:r>
              <w:rPr>
                <w:color w:val="auto"/>
                <w:sz w:val="24"/>
                <w:szCs w:val="24"/>
              </w:rPr>
              <w:t>设备安装在室内，</w:t>
            </w:r>
            <w:r>
              <w:rPr>
                <w:rFonts w:hint="eastAsia"/>
                <w:color w:val="auto"/>
                <w:sz w:val="24"/>
                <w:szCs w:val="24"/>
                <w:lang w:val="en-US" w:eastAsia="zh-CN"/>
              </w:rPr>
              <w:t>高噪声设备采取</w:t>
            </w:r>
            <w:r>
              <w:rPr>
                <w:color w:val="auto"/>
                <w:sz w:val="24"/>
                <w:szCs w:val="24"/>
              </w:rPr>
              <w:t>基础减振</w:t>
            </w:r>
            <w:r>
              <w:rPr>
                <w:rFonts w:hint="eastAsia"/>
                <w:color w:val="auto"/>
                <w:sz w:val="24"/>
                <w:szCs w:val="24"/>
                <w:lang w:val="en-US" w:eastAsia="zh-CN"/>
              </w:rPr>
              <w:t>措施</w:t>
            </w:r>
            <w:r>
              <w:rPr>
                <w:rFonts w:hint="eastAsia"/>
                <w:color w:val="auto"/>
                <w:sz w:val="24"/>
                <w:szCs w:val="24"/>
                <w:lang w:eastAsia="zh-CN"/>
              </w:rPr>
              <w:t>，</w:t>
            </w:r>
            <w:r>
              <w:rPr>
                <w:rFonts w:hint="eastAsia"/>
                <w:color w:val="auto"/>
                <w:sz w:val="24"/>
                <w:szCs w:val="24"/>
                <w:lang w:val="en-US" w:eastAsia="zh-CN"/>
              </w:rPr>
              <w:t>设备噪声经隔声、距离衰减后，</w:t>
            </w:r>
            <w:r>
              <w:rPr>
                <w:color w:val="auto"/>
                <w:sz w:val="24"/>
                <w:szCs w:val="24"/>
              </w:rPr>
              <w:t>厂界噪声满足《工业企业厂界环境噪声排放标准》（GB12348-2008）的</w:t>
            </w:r>
            <w:r>
              <w:rPr>
                <w:rFonts w:hint="eastAsia"/>
                <w:color w:val="auto"/>
                <w:sz w:val="24"/>
                <w:szCs w:val="24"/>
                <w:lang w:val="en-US" w:eastAsia="zh-CN"/>
              </w:rPr>
              <w:t>3</w:t>
            </w:r>
            <w:r>
              <w:rPr>
                <w:color w:val="auto"/>
                <w:sz w:val="24"/>
                <w:szCs w:val="24"/>
              </w:rPr>
              <w:t>类标准要求。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7" w:hRule="atLeast"/>
        </w:trPr>
        <w:tc>
          <w:tcPr>
            <w:tcW w:w="851" w:type="dxa"/>
            <w:noWrap w:val="0"/>
            <w:vAlign w:val="center"/>
          </w:tcPr>
          <w:p>
            <w:pPr>
              <w:jc w:val="center"/>
              <w:rPr>
                <w:rFonts w:eastAsia="仿宋_GB2312"/>
                <w:color w:val="auto"/>
                <w:sz w:val="24"/>
              </w:rPr>
            </w:pPr>
            <w:r>
              <w:rPr>
                <w:rFonts w:eastAsia="仿宋_GB2312"/>
                <w:color w:val="auto"/>
                <w:sz w:val="24"/>
              </w:rPr>
              <w:t>其</w:t>
            </w:r>
          </w:p>
          <w:p>
            <w:pPr>
              <w:jc w:val="center"/>
              <w:rPr>
                <w:rFonts w:eastAsia="仿宋_GB2312"/>
                <w:color w:val="auto"/>
                <w:sz w:val="24"/>
              </w:rPr>
            </w:pPr>
            <w:r>
              <w:rPr>
                <w:rFonts w:eastAsia="仿宋_GB2312"/>
                <w:color w:val="auto"/>
                <w:sz w:val="24"/>
              </w:rPr>
              <w:t>他</w:t>
            </w:r>
          </w:p>
        </w:tc>
        <w:tc>
          <w:tcPr>
            <w:tcW w:w="8471" w:type="dxa"/>
            <w:gridSpan w:val="4"/>
            <w:noWrap w:val="0"/>
            <w:vAlign w:val="center"/>
          </w:tcPr>
          <w:p>
            <w:pPr>
              <w:spacing w:line="400" w:lineRule="exact"/>
              <w:ind w:firstLine="480"/>
              <w:rPr>
                <w:rFonts w:eastAsia="仿宋_GB2312"/>
                <w:color w:val="auto"/>
                <w:sz w:val="24"/>
              </w:rPr>
            </w:pPr>
            <w:r>
              <w:rPr>
                <w:rFonts w:hint="eastAsia" w:ascii="宋体" w:hAnsi="宋体" w:eastAsia="宋体" w:cs="宋体"/>
                <w:color w:val="auto"/>
                <w:sz w:val="24"/>
              </w:rPr>
              <w:t>无</w:t>
            </w:r>
          </w:p>
        </w:tc>
      </w:tr>
    </w:tbl>
    <w:p>
      <w:pPr>
        <w:pageBreakBefore/>
        <w:outlineLvl w:val="0"/>
        <w:rPr>
          <w:rFonts w:hint="eastAsia" w:ascii="黑体" w:hAnsi="黑体" w:eastAsia="黑体" w:cs="黑体"/>
          <w:b w:val="0"/>
          <w:bCs/>
          <w:color w:val="auto"/>
          <w:sz w:val="28"/>
          <w:szCs w:val="28"/>
        </w:rPr>
      </w:pPr>
      <w:r>
        <w:rPr>
          <w:rFonts w:hint="eastAsia" w:ascii="黑体" w:hAnsi="黑体" w:eastAsia="黑体" w:cs="黑体"/>
          <w:b w:val="0"/>
          <w:bCs/>
          <w:color w:val="auto"/>
          <w:sz w:val="28"/>
          <w:szCs w:val="28"/>
        </w:rPr>
        <w:t>污染物增减情况表</w:t>
      </w:r>
    </w:p>
    <w:tbl>
      <w:tblPr>
        <w:tblStyle w:val="37"/>
        <w:tblW w:w="9343"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1157"/>
        <w:gridCol w:w="1395"/>
        <w:gridCol w:w="1417"/>
        <w:gridCol w:w="1276"/>
        <w:gridCol w:w="1326"/>
        <w:gridCol w:w="13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trPr>
        <w:tc>
          <w:tcPr>
            <w:tcW w:w="1418" w:type="dxa"/>
            <w:tcBorders>
              <w:bottom w:val="single" w:color="auto" w:sz="4" w:space="0"/>
            </w:tcBorders>
            <w:noWrap w:val="0"/>
            <w:vAlign w:val="center"/>
          </w:tcPr>
          <w:p>
            <w:pPr>
              <w:jc w:val="center"/>
              <w:rPr>
                <w:rFonts w:eastAsia="仿宋_GB2312"/>
                <w:color w:val="auto"/>
                <w:sz w:val="24"/>
              </w:rPr>
            </w:pPr>
            <w:r>
              <w:rPr>
                <w:rFonts w:eastAsia="仿宋_GB2312"/>
                <w:color w:val="auto"/>
                <w:sz w:val="24"/>
              </w:rPr>
              <w:t>污染物</w:t>
            </w:r>
          </w:p>
          <w:p>
            <w:pPr>
              <w:jc w:val="center"/>
              <w:rPr>
                <w:rFonts w:eastAsia="仿宋_GB2312"/>
                <w:color w:val="auto"/>
                <w:sz w:val="24"/>
              </w:rPr>
            </w:pPr>
            <w:r>
              <w:rPr>
                <w:rFonts w:eastAsia="仿宋_GB2312"/>
                <w:color w:val="auto"/>
                <w:sz w:val="24"/>
              </w:rPr>
              <w:t>名称</w:t>
            </w:r>
          </w:p>
        </w:tc>
        <w:tc>
          <w:tcPr>
            <w:tcW w:w="1157" w:type="dxa"/>
            <w:noWrap w:val="0"/>
            <w:vAlign w:val="center"/>
          </w:tcPr>
          <w:p>
            <w:pPr>
              <w:jc w:val="center"/>
              <w:rPr>
                <w:rFonts w:eastAsia="仿宋_GB2312"/>
                <w:color w:val="auto"/>
                <w:sz w:val="24"/>
              </w:rPr>
            </w:pPr>
            <w:r>
              <w:rPr>
                <w:rFonts w:eastAsia="仿宋_GB2312"/>
                <w:color w:val="auto"/>
                <w:sz w:val="24"/>
              </w:rPr>
              <w:t>原有</w:t>
            </w:r>
          </w:p>
          <w:p>
            <w:pPr>
              <w:jc w:val="center"/>
              <w:rPr>
                <w:rFonts w:eastAsia="仿宋_GB2312"/>
                <w:color w:val="auto"/>
                <w:sz w:val="24"/>
              </w:rPr>
            </w:pPr>
            <w:r>
              <w:rPr>
                <w:rFonts w:eastAsia="仿宋_GB2312"/>
                <w:color w:val="auto"/>
                <w:sz w:val="24"/>
              </w:rPr>
              <w:t>排放量</w:t>
            </w:r>
          </w:p>
          <w:p>
            <w:pPr>
              <w:jc w:val="center"/>
              <w:rPr>
                <w:rFonts w:eastAsia="仿宋_GB2312"/>
                <w:color w:val="auto"/>
                <w:sz w:val="24"/>
              </w:rPr>
            </w:pPr>
            <w:r>
              <w:rPr>
                <w:rFonts w:eastAsia="仿宋_GB2312"/>
                <w:color w:val="auto"/>
                <w:sz w:val="24"/>
              </w:rPr>
              <w:t>（1）</w:t>
            </w:r>
          </w:p>
        </w:tc>
        <w:tc>
          <w:tcPr>
            <w:tcW w:w="1395" w:type="dxa"/>
            <w:noWrap w:val="0"/>
            <w:vAlign w:val="center"/>
          </w:tcPr>
          <w:p>
            <w:pPr>
              <w:jc w:val="center"/>
              <w:rPr>
                <w:rFonts w:eastAsia="仿宋_GB2312"/>
                <w:color w:val="auto"/>
                <w:sz w:val="24"/>
              </w:rPr>
            </w:pPr>
            <w:r>
              <w:rPr>
                <w:rFonts w:eastAsia="仿宋_GB2312"/>
                <w:color w:val="auto"/>
                <w:sz w:val="24"/>
              </w:rPr>
              <w:t>新建部分</w:t>
            </w:r>
          </w:p>
          <w:p>
            <w:pPr>
              <w:jc w:val="center"/>
              <w:rPr>
                <w:rFonts w:eastAsia="仿宋_GB2312"/>
                <w:color w:val="auto"/>
                <w:sz w:val="24"/>
              </w:rPr>
            </w:pPr>
            <w:r>
              <w:rPr>
                <w:rFonts w:eastAsia="仿宋_GB2312"/>
                <w:color w:val="auto"/>
                <w:sz w:val="24"/>
              </w:rPr>
              <w:t>产生量</w:t>
            </w:r>
          </w:p>
          <w:p>
            <w:pPr>
              <w:jc w:val="center"/>
              <w:rPr>
                <w:rFonts w:eastAsia="仿宋_GB2312"/>
                <w:color w:val="auto"/>
                <w:sz w:val="24"/>
              </w:rPr>
            </w:pPr>
            <w:r>
              <w:rPr>
                <w:rFonts w:eastAsia="仿宋_GB2312"/>
                <w:color w:val="auto"/>
                <w:sz w:val="24"/>
              </w:rPr>
              <w:t>（2）</w:t>
            </w:r>
          </w:p>
        </w:tc>
        <w:tc>
          <w:tcPr>
            <w:tcW w:w="1417" w:type="dxa"/>
            <w:noWrap w:val="0"/>
            <w:vAlign w:val="center"/>
          </w:tcPr>
          <w:p>
            <w:pPr>
              <w:jc w:val="center"/>
              <w:rPr>
                <w:rFonts w:eastAsia="仿宋_GB2312"/>
                <w:color w:val="auto"/>
                <w:sz w:val="24"/>
              </w:rPr>
            </w:pPr>
            <w:r>
              <w:rPr>
                <w:rFonts w:eastAsia="仿宋_GB2312"/>
                <w:color w:val="auto"/>
                <w:sz w:val="24"/>
              </w:rPr>
              <w:t>新建部分</w:t>
            </w:r>
          </w:p>
          <w:p>
            <w:pPr>
              <w:jc w:val="center"/>
              <w:rPr>
                <w:rFonts w:eastAsia="仿宋_GB2312"/>
                <w:color w:val="auto"/>
                <w:sz w:val="24"/>
              </w:rPr>
            </w:pPr>
            <w:r>
              <w:rPr>
                <w:rFonts w:eastAsia="仿宋_GB2312"/>
                <w:color w:val="auto"/>
                <w:sz w:val="24"/>
              </w:rPr>
              <w:t>削减量</w:t>
            </w:r>
          </w:p>
          <w:p>
            <w:pPr>
              <w:jc w:val="center"/>
              <w:rPr>
                <w:rFonts w:eastAsia="仿宋_GB2312"/>
                <w:color w:val="auto"/>
                <w:sz w:val="24"/>
              </w:rPr>
            </w:pPr>
            <w:r>
              <w:rPr>
                <w:rFonts w:eastAsia="仿宋_GB2312"/>
                <w:color w:val="auto"/>
                <w:sz w:val="24"/>
              </w:rPr>
              <w:t>（3）</w:t>
            </w:r>
          </w:p>
        </w:tc>
        <w:tc>
          <w:tcPr>
            <w:tcW w:w="1276" w:type="dxa"/>
            <w:noWrap w:val="0"/>
            <w:vAlign w:val="center"/>
          </w:tcPr>
          <w:p>
            <w:pPr>
              <w:jc w:val="center"/>
              <w:rPr>
                <w:rFonts w:eastAsia="仿宋_GB2312"/>
                <w:color w:val="auto"/>
                <w:sz w:val="24"/>
              </w:rPr>
            </w:pPr>
            <w:r>
              <w:rPr>
                <w:rFonts w:eastAsia="仿宋_GB2312"/>
                <w:color w:val="auto"/>
                <w:sz w:val="24"/>
              </w:rPr>
              <w:t>以新带老削减量</w:t>
            </w:r>
          </w:p>
          <w:p>
            <w:pPr>
              <w:jc w:val="center"/>
              <w:rPr>
                <w:rFonts w:eastAsia="仿宋_GB2312"/>
                <w:color w:val="auto"/>
                <w:sz w:val="24"/>
              </w:rPr>
            </w:pPr>
            <w:r>
              <w:rPr>
                <w:rFonts w:eastAsia="仿宋_GB2312"/>
                <w:color w:val="auto"/>
                <w:sz w:val="24"/>
              </w:rPr>
              <w:t>（4）</w:t>
            </w:r>
          </w:p>
        </w:tc>
        <w:tc>
          <w:tcPr>
            <w:tcW w:w="1326" w:type="dxa"/>
            <w:noWrap w:val="0"/>
            <w:vAlign w:val="center"/>
          </w:tcPr>
          <w:p>
            <w:pPr>
              <w:jc w:val="center"/>
              <w:rPr>
                <w:rFonts w:eastAsia="仿宋_GB2312"/>
                <w:color w:val="auto"/>
                <w:sz w:val="24"/>
              </w:rPr>
            </w:pPr>
            <w:r>
              <w:rPr>
                <w:rFonts w:eastAsia="仿宋_GB2312"/>
                <w:color w:val="auto"/>
                <w:sz w:val="24"/>
              </w:rPr>
              <w:t>排放</w:t>
            </w:r>
          </w:p>
          <w:p>
            <w:pPr>
              <w:jc w:val="center"/>
              <w:rPr>
                <w:rFonts w:eastAsia="仿宋_GB2312"/>
                <w:color w:val="auto"/>
                <w:sz w:val="24"/>
              </w:rPr>
            </w:pPr>
            <w:r>
              <w:rPr>
                <w:rFonts w:eastAsia="仿宋_GB2312"/>
                <w:color w:val="auto"/>
                <w:sz w:val="24"/>
              </w:rPr>
              <w:t>增减量</w:t>
            </w:r>
          </w:p>
          <w:p>
            <w:pPr>
              <w:jc w:val="center"/>
              <w:rPr>
                <w:rFonts w:eastAsia="仿宋_GB2312"/>
                <w:color w:val="auto"/>
                <w:sz w:val="24"/>
              </w:rPr>
            </w:pPr>
            <w:r>
              <w:rPr>
                <w:rFonts w:eastAsia="仿宋_GB2312"/>
                <w:color w:val="auto"/>
                <w:sz w:val="24"/>
              </w:rPr>
              <w:t>（5）</w:t>
            </w:r>
          </w:p>
        </w:tc>
        <w:tc>
          <w:tcPr>
            <w:tcW w:w="1354" w:type="dxa"/>
            <w:noWrap w:val="0"/>
            <w:vAlign w:val="center"/>
          </w:tcPr>
          <w:p>
            <w:pPr>
              <w:jc w:val="center"/>
              <w:rPr>
                <w:rFonts w:eastAsia="仿宋_GB2312"/>
                <w:color w:val="auto"/>
                <w:sz w:val="24"/>
              </w:rPr>
            </w:pPr>
            <w:r>
              <w:rPr>
                <w:rFonts w:eastAsia="仿宋_GB2312"/>
                <w:color w:val="auto"/>
                <w:sz w:val="24"/>
              </w:rPr>
              <w:t>排放</w:t>
            </w:r>
          </w:p>
          <w:p>
            <w:pPr>
              <w:jc w:val="center"/>
              <w:rPr>
                <w:rFonts w:eastAsia="仿宋_GB2312"/>
                <w:color w:val="auto"/>
                <w:sz w:val="24"/>
              </w:rPr>
            </w:pPr>
            <w:r>
              <w:rPr>
                <w:rFonts w:eastAsia="仿宋_GB2312"/>
                <w:color w:val="auto"/>
                <w:sz w:val="24"/>
              </w:rPr>
              <w:t>总量</w:t>
            </w:r>
          </w:p>
          <w:p>
            <w:pPr>
              <w:jc w:val="center"/>
              <w:rPr>
                <w:rFonts w:eastAsia="仿宋_GB2312"/>
                <w:color w:val="auto"/>
                <w:sz w:val="24"/>
              </w:rPr>
            </w:pPr>
            <w:r>
              <w:rPr>
                <w:rFonts w:eastAsia="仿宋_GB2312"/>
                <w:color w:val="auto"/>
                <w:sz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trPr>
        <w:tc>
          <w:tcPr>
            <w:tcW w:w="1418" w:type="dxa"/>
            <w:noWrap w:val="0"/>
            <w:vAlign w:val="center"/>
          </w:tcPr>
          <w:p>
            <w:pPr>
              <w:jc w:val="center"/>
              <w:rPr>
                <w:rFonts w:eastAsia="仿宋_GB2312"/>
                <w:color w:val="auto"/>
                <w:sz w:val="24"/>
              </w:rPr>
            </w:pPr>
            <w:r>
              <w:rPr>
                <w:rFonts w:eastAsia="仿宋_GB2312"/>
                <w:color w:val="auto"/>
                <w:sz w:val="24"/>
              </w:rPr>
              <w:t>废水</w:t>
            </w:r>
          </w:p>
        </w:tc>
        <w:tc>
          <w:tcPr>
            <w:tcW w:w="1157" w:type="dxa"/>
            <w:noWrap w:val="0"/>
            <w:vAlign w:val="center"/>
          </w:tcPr>
          <w:p>
            <w:pPr>
              <w:jc w:val="center"/>
              <w:rPr>
                <w:rFonts w:eastAsia="仿宋_GB2312"/>
                <w:color w:val="auto"/>
                <w:sz w:val="24"/>
              </w:rPr>
            </w:pPr>
          </w:p>
        </w:tc>
        <w:tc>
          <w:tcPr>
            <w:tcW w:w="1395" w:type="dxa"/>
            <w:noWrap w:val="0"/>
            <w:vAlign w:val="center"/>
          </w:tcPr>
          <w:p>
            <w:pPr>
              <w:jc w:val="center"/>
              <w:rPr>
                <w:rFonts w:hint="default" w:eastAsia="仿宋_GB2312"/>
                <w:color w:val="auto"/>
                <w:sz w:val="24"/>
                <w:lang w:val="en-US" w:eastAsia="zh-CN"/>
              </w:rPr>
            </w:pPr>
            <w:r>
              <w:rPr>
                <w:rFonts w:hint="eastAsia" w:eastAsia="仿宋_GB2312"/>
                <w:color w:val="auto"/>
                <w:sz w:val="24"/>
                <w:lang w:val="en-US" w:eastAsia="zh-CN"/>
              </w:rPr>
              <w:t>0.033</w:t>
            </w:r>
          </w:p>
        </w:tc>
        <w:tc>
          <w:tcPr>
            <w:tcW w:w="1417" w:type="dxa"/>
            <w:noWrap w:val="0"/>
            <w:vAlign w:val="center"/>
          </w:tcPr>
          <w:p>
            <w:pPr>
              <w:jc w:val="center"/>
              <w:rPr>
                <w:rFonts w:eastAsia="仿宋_GB2312"/>
                <w:color w:val="auto"/>
                <w:sz w:val="24"/>
              </w:rPr>
            </w:pPr>
            <w:r>
              <w:rPr>
                <w:rFonts w:eastAsia="仿宋_GB2312"/>
                <w:color w:val="auto"/>
                <w:sz w:val="24"/>
              </w:rPr>
              <w:t>0</w:t>
            </w:r>
          </w:p>
        </w:tc>
        <w:tc>
          <w:tcPr>
            <w:tcW w:w="1276" w:type="dxa"/>
            <w:noWrap w:val="0"/>
            <w:vAlign w:val="center"/>
          </w:tcPr>
          <w:p>
            <w:pPr>
              <w:jc w:val="center"/>
              <w:rPr>
                <w:rFonts w:eastAsia="仿宋_GB2312"/>
                <w:color w:val="auto"/>
                <w:sz w:val="24"/>
              </w:rPr>
            </w:pPr>
          </w:p>
        </w:tc>
        <w:tc>
          <w:tcPr>
            <w:tcW w:w="1326" w:type="dxa"/>
            <w:noWrap w:val="0"/>
            <w:vAlign w:val="center"/>
          </w:tcPr>
          <w:p>
            <w:pPr>
              <w:jc w:val="center"/>
              <w:rPr>
                <w:rFonts w:hint="default" w:eastAsia="仿宋_GB2312"/>
                <w:color w:val="auto"/>
                <w:sz w:val="24"/>
                <w:lang w:val="en-US" w:eastAsia="zh-CN"/>
              </w:rPr>
            </w:pPr>
            <w:r>
              <w:rPr>
                <w:rFonts w:eastAsia="仿宋_GB2312"/>
                <w:color w:val="auto"/>
                <w:sz w:val="24"/>
              </w:rPr>
              <w:t>+</w:t>
            </w:r>
            <w:r>
              <w:rPr>
                <w:rFonts w:hint="eastAsia" w:eastAsia="仿宋_GB2312"/>
                <w:color w:val="auto"/>
                <w:sz w:val="24"/>
                <w:lang w:val="en-US" w:eastAsia="zh-CN"/>
              </w:rPr>
              <w:t>0.033</w:t>
            </w:r>
          </w:p>
        </w:tc>
        <w:tc>
          <w:tcPr>
            <w:tcW w:w="1354" w:type="dxa"/>
            <w:noWrap w:val="0"/>
            <w:vAlign w:val="center"/>
          </w:tcPr>
          <w:p>
            <w:pPr>
              <w:jc w:val="center"/>
              <w:rPr>
                <w:rFonts w:hint="default" w:eastAsia="仿宋_GB2312"/>
                <w:color w:val="auto"/>
                <w:sz w:val="24"/>
                <w:lang w:val="en-US" w:eastAsia="zh-CN"/>
              </w:rPr>
            </w:pPr>
            <w:r>
              <w:rPr>
                <w:rFonts w:hint="eastAsia" w:eastAsia="仿宋_GB2312"/>
                <w:color w:val="auto"/>
                <w:sz w:val="24"/>
                <w:lang w:val="en-US" w:eastAsia="zh-CN"/>
              </w:rPr>
              <w:t>0.033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8" w:hRule="atLeast"/>
        </w:trPr>
        <w:tc>
          <w:tcPr>
            <w:tcW w:w="1418" w:type="dxa"/>
            <w:noWrap w:val="0"/>
            <w:vAlign w:val="center"/>
          </w:tcPr>
          <w:p>
            <w:pPr>
              <w:jc w:val="center"/>
              <w:rPr>
                <w:rFonts w:eastAsia="仿宋_GB2312"/>
                <w:color w:val="auto"/>
                <w:sz w:val="24"/>
              </w:rPr>
            </w:pPr>
            <w:r>
              <w:rPr>
                <w:rFonts w:eastAsia="仿宋_GB2312"/>
                <w:color w:val="auto"/>
                <w:sz w:val="24"/>
              </w:rPr>
              <w:t>COD</w:t>
            </w:r>
            <w:r>
              <w:rPr>
                <w:rFonts w:eastAsia="仿宋_GB2312"/>
                <w:color w:val="auto"/>
                <w:sz w:val="24"/>
                <w:vertAlign w:val="subscript"/>
              </w:rPr>
              <w:t>cr</w:t>
            </w:r>
          </w:p>
        </w:tc>
        <w:tc>
          <w:tcPr>
            <w:tcW w:w="1157" w:type="dxa"/>
            <w:noWrap w:val="0"/>
            <w:vAlign w:val="center"/>
          </w:tcPr>
          <w:p>
            <w:pPr>
              <w:jc w:val="center"/>
              <w:rPr>
                <w:color w:val="auto"/>
                <w:sz w:val="24"/>
              </w:rPr>
            </w:pPr>
          </w:p>
        </w:tc>
        <w:tc>
          <w:tcPr>
            <w:tcW w:w="139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cs="Times New Roman"/>
                <w:color w:val="auto"/>
                <w:kern w:val="2"/>
                <w:sz w:val="24"/>
                <w:lang w:val="en-US" w:eastAsia="zh-CN" w:bidi="ar-SA"/>
              </w:rPr>
            </w:pPr>
            <w:r>
              <w:rPr>
                <w:rFonts w:hint="eastAsia"/>
                <w:color w:val="auto"/>
                <w:sz w:val="24"/>
                <w:lang w:val="en-US" w:eastAsia="zh-CN"/>
              </w:rPr>
              <w:t>0.178</w:t>
            </w:r>
          </w:p>
        </w:tc>
        <w:tc>
          <w:tcPr>
            <w:tcW w:w="141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4"/>
                <w:lang w:val="en-US" w:eastAsia="zh-CN" w:bidi="ar-SA"/>
              </w:rPr>
            </w:pPr>
            <w:r>
              <w:rPr>
                <w:rFonts w:hint="eastAsia"/>
                <w:color w:val="auto"/>
                <w:sz w:val="24"/>
                <w:szCs w:val="24"/>
                <w:lang w:val="en-US" w:eastAsia="zh-CN"/>
              </w:rPr>
              <w:t>0.162</w:t>
            </w:r>
          </w:p>
        </w:tc>
        <w:tc>
          <w:tcPr>
            <w:tcW w:w="127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cs="Times New Roman"/>
                <w:color w:val="auto"/>
                <w:kern w:val="2"/>
                <w:sz w:val="24"/>
                <w:lang w:val="en-US" w:eastAsia="zh-CN" w:bidi="ar-SA"/>
              </w:rPr>
            </w:pPr>
          </w:p>
        </w:tc>
        <w:tc>
          <w:tcPr>
            <w:tcW w:w="132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auto"/>
                <w:sz w:val="24"/>
              </w:rPr>
            </w:pPr>
            <w:r>
              <w:rPr>
                <w:color w:val="auto"/>
                <w:sz w:val="24"/>
              </w:rPr>
              <w:t>+</w:t>
            </w:r>
            <w:r>
              <w:rPr>
                <w:rFonts w:hint="eastAsia"/>
                <w:color w:val="auto"/>
                <w:sz w:val="24"/>
                <w:szCs w:val="24"/>
                <w:lang w:val="en-US" w:eastAsia="zh-CN"/>
              </w:rPr>
              <w:t>0.016</w:t>
            </w:r>
          </w:p>
        </w:tc>
        <w:tc>
          <w:tcPr>
            <w:tcW w:w="135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cs="Times New Roman"/>
                <w:color w:val="auto"/>
                <w:kern w:val="2"/>
                <w:sz w:val="24"/>
                <w:lang w:val="en-US" w:eastAsia="zh-CN" w:bidi="ar-SA"/>
              </w:rPr>
            </w:pPr>
            <w:r>
              <w:rPr>
                <w:rFonts w:hint="eastAsia"/>
                <w:color w:val="auto"/>
                <w:sz w:val="24"/>
                <w:szCs w:val="24"/>
                <w:lang w:val="en-US" w:eastAsia="zh-CN"/>
              </w:rPr>
              <w:t>0.016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4" w:hRule="atLeast"/>
        </w:trPr>
        <w:tc>
          <w:tcPr>
            <w:tcW w:w="1418" w:type="dxa"/>
            <w:noWrap w:val="0"/>
            <w:vAlign w:val="center"/>
          </w:tcPr>
          <w:p>
            <w:pPr>
              <w:spacing w:line="440" w:lineRule="exact"/>
              <w:jc w:val="center"/>
              <w:rPr>
                <w:rFonts w:eastAsia="仿宋_GB2312"/>
                <w:color w:val="auto"/>
                <w:sz w:val="24"/>
              </w:rPr>
            </w:pPr>
            <w:r>
              <w:rPr>
                <w:color w:val="auto"/>
                <w:sz w:val="24"/>
              </w:rPr>
              <w:t>BOD</w:t>
            </w:r>
            <w:r>
              <w:rPr>
                <w:color w:val="auto"/>
                <w:sz w:val="24"/>
                <w:vertAlign w:val="subscript"/>
              </w:rPr>
              <w:t>5</w:t>
            </w:r>
          </w:p>
        </w:tc>
        <w:tc>
          <w:tcPr>
            <w:tcW w:w="1157" w:type="dxa"/>
            <w:noWrap w:val="0"/>
            <w:vAlign w:val="center"/>
          </w:tcPr>
          <w:p>
            <w:pPr>
              <w:jc w:val="center"/>
              <w:rPr>
                <w:rFonts w:eastAsia="仿宋_GB2312"/>
                <w:color w:val="auto"/>
                <w:sz w:val="24"/>
              </w:rPr>
            </w:pPr>
          </w:p>
        </w:tc>
        <w:tc>
          <w:tcPr>
            <w:tcW w:w="139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auto"/>
                <w:sz w:val="24"/>
              </w:rPr>
            </w:pPr>
            <w:r>
              <w:rPr>
                <w:rFonts w:hint="eastAsia"/>
                <w:color w:val="auto"/>
                <w:sz w:val="24"/>
                <w:lang w:val="en-US" w:eastAsia="zh-CN"/>
              </w:rPr>
              <w:t>0.0525</w:t>
            </w:r>
          </w:p>
        </w:tc>
        <w:tc>
          <w:tcPr>
            <w:tcW w:w="1417" w:type="dxa"/>
            <w:noWrap w:val="0"/>
            <w:vAlign w:val="center"/>
          </w:tcPr>
          <w:p>
            <w:pPr>
              <w:spacing w:line="440" w:lineRule="exact"/>
              <w:jc w:val="center"/>
              <w:rPr>
                <w:rFonts w:hint="default" w:eastAsia="宋体"/>
                <w:color w:val="auto"/>
                <w:sz w:val="24"/>
                <w:lang w:val="en-US" w:eastAsia="zh-CN"/>
              </w:rPr>
            </w:pPr>
            <w:r>
              <w:rPr>
                <w:rFonts w:hint="eastAsia"/>
                <w:color w:val="auto"/>
                <w:sz w:val="24"/>
                <w:lang w:val="en-US" w:eastAsia="zh-CN"/>
              </w:rPr>
              <w:t>0.0492</w:t>
            </w:r>
          </w:p>
        </w:tc>
        <w:tc>
          <w:tcPr>
            <w:tcW w:w="1276" w:type="dxa"/>
            <w:noWrap w:val="0"/>
            <w:vAlign w:val="center"/>
          </w:tcPr>
          <w:p>
            <w:pPr>
              <w:jc w:val="center"/>
              <w:rPr>
                <w:rFonts w:eastAsia="仿宋_GB2312"/>
                <w:color w:val="auto"/>
                <w:sz w:val="24"/>
              </w:rPr>
            </w:pPr>
          </w:p>
        </w:tc>
        <w:tc>
          <w:tcPr>
            <w:tcW w:w="132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auto"/>
                <w:sz w:val="24"/>
              </w:rPr>
            </w:pPr>
            <w:r>
              <w:rPr>
                <w:rFonts w:eastAsia="仿宋_GB2312"/>
                <w:color w:val="auto"/>
                <w:sz w:val="24"/>
              </w:rPr>
              <w:t>+</w:t>
            </w:r>
            <w:r>
              <w:rPr>
                <w:rFonts w:hint="eastAsia"/>
                <w:color w:val="auto"/>
                <w:sz w:val="24"/>
                <w:szCs w:val="24"/>
                <w:lang w:val="en-US" w:eastAsia="zh-CN"/>
              </w:rPr>
              <w:t>0.0033</w:t>
            </w:r>
          </w:p>
        </w:tc>
        <w:tc>
          <w:tcPr>
            <w:tcW w:w="1354" w:type="dxa"/>
            <w:noWrap w:val="0"/>
            <w:vAlign w:val="center"/>
          </w:tcPr>
          <w:p>
            <w:pPr>
              <w:spacing w:line="440" w:lineRule="exact"/>
              <w:jc w:val="center"/>
              <w:rPr>
                <w:rFonts w:ascii="Times New Roman" w:hAnsi="Times New Roman" w:eastAsia="宋体" w:cs="Times New Roman"/>
                <w:color w:val="auto"/>
                <w:kern w:val="2"/>
                <w:sz w:val="24"/>
                <w:lang w:val="en-US" w:eastAsia="zh-CN" w:bidi="ar-SA"/>
              </w:rPr>
            </w:pPr>
            <w:r>
              <w:rPr>
                <w:rFonts w:hint="eastAsia"/>
                <w:color w:val="auto"/>
                <w:sz w:val="24"/>
                <w:szCs w:val="24"/>
                <w:lang w:val="en-US" w:eastAsia="zh-CN"/>
              </w:rPr>
              <w:t>0.0033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1" w:hRule="atLeast"/>
        </w:trPr>
        <w:tc>
          <w:tcPr>
            <w:tcW w:w="1418" w:type="dxa"/>
            <w:noWrap w:val="0"/>
            <w:vAlign w:val="center"/>
          </w:tcPr>
          <w:p>
            <w:pPr>
              <w:jc w:val="center"/>
              <w:rPr>
                <w:rFonts w:eastAsia="仿宋_GB2312"/>
                <w:color w:val="auto"/>
                <w:sz w:val="24"/>
              </w:rPr>
            </w:pPr>
            <w:r>
              <w:rPr>
                <w:color w:val="auto"/>
                <w:sz w:val="24"/>
              </w:rPr>
              <w:t>SS</w:t>
            </w:r>
          </w:p>
        </w:tc>
        <w:tc>
          <w:tcPr>
            <w:tcW w:w="1157" w:type="dxa"/>
            <w:noWrap w:val="0"/>
            <w:vAlign w:val="center"/>
          </w:tcPr>
          <w:p>
            <w:pPr>
              <w:jc w:val="center"/>
              <w:rPr>
                <w:rFonts w:eastAsia="仿宋_GB2312"/>
                <w:color w:val="auto"/>
                <w:sz w:val="24"/>
              </w:rPr>
            </w:pPr>
          </w:p>
        </w:tc>
        <w:tc>
          <w:tcPr>
            <w:tcW w:w="139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auto"/>
                <w:sz w:val="24"/>
              </w:rPr>
            </w:pPr>
            <w:r>
              <w:rPr>
                <w:rFonts w:hint="eastAsia"/>
                <w:color w:val="auto"/>
                <w:sz w:val="24"/>
                <w:lang w:val="en-US" w:eastAsia="zh-CN"/>
              </w:rPr>
              <w:t>0.148</w:t>
            </w:r>
          </w:p>
        </w:tc>
        <w:tc>
          <w:tcPr>
            <w:tcW w:w="1417" w:type="dxa"/>
            <w:noWrap w:val="0"/>
            <w:vAlign w:val="center"/>
          </w:tcPr>
          <w:p>
            <w:pPr>
              <w:jc w:val="center"/>
              <w:rPr>
                <w:rFonts w:hint="default" w:eastAsia="仿宋_GB2312"/>
                <w:color w:val="auto"/>
                <w:sz w:val="24"/>
                <w:lang w:val="en-US" w:eastAsia="zh-CN"/>
              </w:rPr>
            </w:pPr>
            <w:r>
              <w:rPr>
                <w:rFonts w:hint="eastAsia" w:eastAsia="仿宋_GB2312"/>
                <w:color w:val="auto"/>
                <w:sz w:val="24"/>
                <w:lang w:val="en-US" w:eastAsia="zh-CN"/>
              </w:rPr>
              <w:t>0.1447</w:t>
            </w:r>
          </w:p>
        </w:tc>
        <w:tc>
          <w:tcPr>
            <w:tcW w:w="1276" w:type="dxa"/>
            <w:noWrap w:val="0"/>
            <w:vAlign w:val="center"/>
          </w:tcPr>
          <w:p>
            <w:pPr>
              <w:jc w:val="center"/>
              <w:rPr>
                <w:rFonts w:eastAsia="仿宋_GB2312"/>
                <w:color w:val="auto"/>
                <w:sz w:val="24"/>
              </w:rPr>
            </w:pPr>
          </w:p>
        </w:tc>
        <w:tc>
          <w:tcPr>
            <w:tcW w:w="132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auto"/>
                <w:sz w:val="24"/>
              </w:rPr>
            </w:pPr>
            <w:r>
              <w:rPr>
                <w:rFonts w:eastAsia="仿宋_GB2312"/>
                <w:color w:val="auto"/>
                <w:sz w:val="24"/>
              </w:rPr>
              <w:t>+</w:t>
            </w:r>
            <w:r>
              <w:rPr>
                <w:rFonts w:hint="eastAsia"/>
                <w:color w:val="auto"/>
                <w:sz w:val="24"/>
                <w:szCs w:val="24"/>
                <w:lang w:val="en-US" w:eastAsia="zh-CN"/>
              </w:rPr>
              <w:t>0.0033</w:t>
            </w:r>
          </w:p>
        </w:tc>
        <w:tc>
          <w:tcPr>
            <w:tcW w:w="135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cs="Times New Roman"/>
                <w:color w:val="auto"/>
                <w:kern w:val="2"/>
                <w:sz w:val="24"/>
                <w:lang w:val="en-US" w:eastAsia="zh-CN" w:bidi="ar-SA"/>
              </w:rPr>
            </w:pPr>
            <w:r>
              <w:rPr>
                <w:rFonts w:hint="eastAsia"/>
                <w:color w:val="auto"/>
                <w:sz w:val="24"/>
                <w:szCs w:val="24"/>
                <w:lang w:val="en-US" w:eastAsia="zh-CN"/>
              </w:rPr>
              <w:t>0.0033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trPr>
        <w:tc>
          <w:tcPr>
            <w:tcW w:w="1418" w:type="dxa"/>
            <w:noWrap w:val="0"/>
            <w:vAlign w:val="center"/>
          </w:tcPr>
          <w:p>
            <w:pPr>
              <w:spacing w:line="440" w:lineRule="exact"/>
              <w:jc w:val="center"/>
              <w:rPr>
                <w:rFonts w:eastAsia="仿宋_GB2312"/>
                <w:color w:val="auto"/>
                <w:sz w:val="24"/>
              </w:rPr>
            </w:pPr>
            <w:r>
              <w:rPr>
                <w:color w:val="auto"/>
                <w:sz w:val="24"/>
              </w:rPr>
              <w:t>NH</w:t>
            </w:r>
            <w:r>
              <w:rPr>
                <w:color w:val="auto"/>
                <w:sz w:val="24"/>
                <w:vertAlign w:val="subscript"/>
              </w:rPr>
              <w:t>3</w:t>
            </w:r>
            <w:r>
              <w:rPr>
                <w:color w:val="auto"/>
                <w:sz w:val="24"/>
              </w:rPr>
              <w:t xml:space="preserve">-N </w:t>
            </w:r>
          </w:p>
        </w:tc>
        <w:tc>
          <w:tcPr>
            <w:tcW w:w="1157" w:type="dxa"/>
            <w:noWrap w:val="0"/>
            <w:vAlign w:val="center"/>
          </w:tcPr>
          <w:p>
            <w:pPr>
              <w:jc w:val="center"/>
              <w:rPr>
                <w:rFonts w:eastAsia="仿宋_GB2312"/>
                <w:color w:val="auto"/>
                <w:sz w:val="24"/>
              </w:rPr>
            </w:pPr>
          </w:p>
        </w:tc>
        <w:tc>
          <w:tcPr>
            <w:tcW w:w="1395" w:type="dxa"/>
            <w:noWrap w:val="0"/>
            <w:vAlign w:val="center"/>
          </w:tcPr>
          <w:p>
            <w:pPr>
              <w:spacing w:line="440" w:lineRule="exact"/>
              <w:jc w:val="center"/>
              <w:rPr>
                <w:color w:val="auto"/>
                <w:sz w:val="24"/>
              </w:rPr>
            </w:pPr>
            <w:r>
              <w:rPr>
                <w:rFonts w:hint="eastAsia"/>
                <w:color w:val="auto"/>
                <w:sz w:val="24"/>
                <w:lang w:val="en-US" w:eastAsia="zh-CN"/>
              </w:rPr>
              <w:t>0.009</w:t>
            </w:r>
          </w:p>
        </w:tc>
        <w:tc>
          <w:tcPr>
            <w:tcW w:w="1417" w:type="dxa"/>
            <w:noWrap w:val="0"/>
            <w:vAlign w:val="center"/>
          </w:tcPr>
          <w:p>
            <w:pPr>
              <w:jc w:val="center"/>
              <w:rPr>
                <w:rFonts w:hint="default" w:eastAsia="仿宋_GB2312"/>
                <w:color w:val="auto"/>
                <w:sz w:val="24"/>
                <w:lang w:val="en-US" w:eastAsia="zh-CN"/>
              </w:rPr>
            </w:pPr>
            <w:r>
              <w:rPr>
                <w:rFonts w:hint="eastAsia" w:eastAsia="仿宋_GB2312"/>
                <w:color w:val="auto"/>
                <w:sz w:val="24"/>
                <w:lang w:val="en-US" w:eastAsia="zh-CN"/>
              </w:rPr>
              <w:t>0.0074</w:t>
            </w:r>
          </w:p>
        </w:tc>
        <w:tc>
          <w:tcPr>
            <w:tcW w:w="1276" w:type="dxa"/>
            <w:noWrap w:val="0"/>
            <w:vAlign w:val="center"/>
          </w:tcPr>
          <w:p>
            <w:pPr>
              <w:jc w:val="center"/>
              <w:rPr>
                <w:rFonts w:eastAsia="仿宋_GB2312"/>
                <w:color w:val="auto"/>
                <w:sz w:val="24"/>
              </w:rPr>
            </w:pPr>
          </w:p>
        </w:tc>
        <w:tc>
          <w:tcPr>
            <w:tcW w:w="1326" w:type="dxa"/>
            <w:noWrap w:val="0"/>
            <w:vAlign w:val="center"/>
          </w:tcPr>
          <w:p>
            <w:pPr>
              <w:spacing w:line="440" w:lineRule="exact"/>
              <w:jc w:val="center"/>
              <w:rPr>
                <w:color w:val="auto"/>
                <w:sz w:val="24"/>
              </w:rPr>
            </w:pPr>
            <w:r>
              <w:rPr>
                <w:rFonts w:eastAsia="仿宋_GB2312"/>
                <w:color w:val="auto"/>
                <w:sz w:val="24"/>
              </w:rPr>
              <w:t>+</w:t>
            </w:r>
            <w:r>
              <w:rPr>
                <w:rFonts w:hint="eastAsia"/>
                <w:color w:val="auto"/>
                <w:sz w:val="24"/>
                <w:szCs w:val="24"/>
                <w:lang w:val="en-US" w:eastAsia="zh-CN"/>
              </w:rPr>
              <w:t>0.0016</w:t>
            </w:r>
          </w:p>
        </w:tc>
        <w:tc>
          <w:tcPr>
            <w:tcW w:w="1354" w:type="dxa"/>
            <w:noWrap w:val="0"/>
            <w:vAlign w:val="center"/>
          </w:tcPr>
          <w:p>
            <w:pPr>
              <w:spacing w:line="440" w:lineRule="exact"/>
              <w:jc w:val="center"/>
              <w:rPr>
                <w:rFonts w:ascii="Times New Roman" w:hAnsi="Times New Roman" w:eastAsia="宋体" w:cs="Times New Roman"/>
                <w:color w:val="auto"/>
                <w:kern w:val="2"/>
                <w:sz w:val="24"/>
                <w:lang w:val="en-US" w:eastAsia="zh-CN" w:bidi="ar-SA"/>
              </w:rPr>
            </w:pPr>
            <w:r>
              <w:rPr>
                <w:rFonts w:hint="eastAsia"/>
                <w:color w:val="auto"/>
                <w:sz w:val="24"/>
                <w:szCs w:val="24"/>
                <w:lang w:val="en-US" w:eastAsia="zh-CN"/>
              </w:rPr>
              <w:t>0.0016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6" w:hRule="atLeast"/>
        </w:trPr>
        <w:tc>
          <w:tcPr>
            <w:tcW w:w="1418" w:type="dxa"/>
            <w:noWrap w:val="0"/>
            <w:vAlign w:val="center"/>
          </w:tcPr>
          <w:p>
            <w:pPr>
              <w:jc w:val="center"/>
              <w:rPr>
                <w:rFonts w:eastAsia="仿宋_GB2312"/>
                <w:color w:val="auto"/>
                <w:sz w:val="24"/>
              </w:rPr>
            </w:pPr>
          </w:p>
        </w:tc>
        <w:tc>
          <w:tcPr>
            <w:tcW w:w="1157" w:type="dxa"/>
            <w:noWrap w:val="0"/>
            <w:vAlign w:val="center"/>
          </w:tcPr>
          <w:p>
            <w:pPr>
              <w:jc w:val="center"/>
              <w:rPr>
                <w:rFonts w:eastAsia="仿宋_GB2312"/>
                <w:color w:val="auto"/>
                <w:sz w:val="24"/>
              </w:rPr>
            </w:pPr>
          </w:p>
        </w:tc>
        <w:tc>
          <w:tcPr>
            <w:tcW w:w="1395" w:type="dxa"/>
            <w:noWrap w:val="0"/>
            <w:vAlign w:val="center"/>
          </w:tcPr>
          <w:p>
            <w:pPr>
              <w:jc w:val="center"/>
              <w:rPr>
                <w:rFonts w:eastAsia="仿宋_GB2312"/>
                <w:color w:val="auto"/>
                <w:sz w:val="24"/>
              </w:rPr>
            </w:pPr>
          </w:p>
        </w:tc>
        <w:tc>
          <w:tcPr>
            <w:tcW w:w="1417" w:type="dxa"/>
            <w:noWrap w:val="0"/>
            <w:vAlign w:val="center"/>
          </w:tcPr>
          <w:p>
            <w:pPr>
              <w:jc w:val="center"/>
              <w:rPr>
                <w:rFonts w:eastAsia="仿宋_GB2312"/>
                <w:color w:val="auto"/>
                <w:sz w:val="24"/>
              </w:rPr>
            </w:pPr>
          </w:p>
        </w:tc>
        <w:tc>
          <w:tcPr>
            <w:tcW w:w="1276" w:type="dxa"/>
            <w:noWrap w:val="0"/>
            <w:vAlign w:val="center"/>
          </w:tcPr>
          <w:p>
            <w:pPr>
              <w:jc w:val="center"/>
              <w:rPr>
                <w:rFonts w:eastAsia="仿宋_GB2312"/>
                <w:color w:val="auto"/>
                <w:sz w:val="24"/>
              </w:rPr>
            </w:pPr>
          </w:p>
        </w:tc>
        <w:tc>
          <w:tcPr>
            <w:tcW w:w="1326" w:type="dxa"/>
            <w:noWrap w:val="0"/>
            <w:vAlign w:val="center"/>
          </w:tcPr>
          <w:p>
            <w:pPr>
              <w:jc w:val="center"/>
              <w:rPr>
                <w:rFonts w:eastAsia="仿宋_GB2312"/>
                <w:color w:val="auto"/>
                <w:sz w:val="24"/>
              </w:rPr>
            </w:pPr>
          </w:p>
        </w:tc>
        <w:tc>
          <w:tcPr>
            <w:tcW w:w="1354" w:type="dxa"/>
            <w:noWrap w:val="0"/>
            <w:vAlign w:val="center"/>
          </w:tcPr>
          <w:p>
            <w:pPr>
              <w:jc w:val="center"/>
              <w:rPr>
                <w:rFonts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1418" w:type="dxa"/>
            <w:noWrap w:val="0"/>
            <w:vAlign w:val="center"/>
          </w:tcPr>
          <w:p>
            <w:pPr>
              <w:jc w:val="center"/>
              <w:rPr>
                <w:rFonts w:eastAsia="仿宋_GB2312"/>
                <w:color w:val="auto"/>
                <w:sz w:val="24"/>
              </w:rPr>
            </w:pPr>
          </w:p>
        </w:tc>
        <w:tc>
          <w:tcPr>
            <w:tcW w:w="1157" w:type="dxa"/>
            <w:noWrap w:val="0"/>
            <w:vAlign w:val="center"/>
          </w:tcPr>
          <w:p>
            <w:pPr>
              <w:jc w:val="center"/>
              <w:rPr>
                <w:rFonts w:eastAsia="仿宋_GB2312"/>
                <w:color w:val="auto"/>
                <w:sz w:val="24"/>
              </w:rPr>
            </w:pPr>
          </w:p>
        </w:tc>
        <w:tc>
          <w:tcPr>
            <w:tcW w:w="1395" w:type="dxa"/>
            <w:noWrap w:val="0"/>
            <w:vAlign w:val="center"/>
          </w:tcPr>
          <w:p>
            <w:pPr>
              <w:jc w:val="center"/>
              <w:rPr>
                <w:rFonts w:hint="default" w:eastAsia="仿宋_GB2312"/>
                <w:color w:val="auto"/>
                <w:sz w:val="24"/>
                <w:lang w:val="en-US" w:eastAsia="zh-CN"/>
              </w:rPr>
            </w:pPr>
          </w:p>
        </w:tc>
        <w:tc>
          <w:tcPr>
            <w:tcW w:w="1417" w:type="dxa"/>
            <w:noWrap w:val="0"/>
            <w:vAlign w:val="center"/>
          </w:tcPr>
          <w:p>
            <w:pPr>
              <w:jc w:val="center"/>
              <w:rPr>
                <w:rFonts w:eastAsia="仿宋_GB2312"/>
                <w:color w:val="auto"/>
                <w:sz w:val="24"/>
              </w:rPr>
            </w:pPr>
          </w:p>
        </w:tc>
        <w:tc>
          <w:tcPr>
            <w:tcW w:w="1276" w:type="dxa"/>
            <w:noWrap w:val="0"/>
            <w:vAlign w:val="center"/>
          </w:tcPr>
          <w:p>
            <w:pPr>
              <w:jc w:val="center"/>
              <w:rPr>
                <w:rFonts w:eastAsia="仿宋_GB2312"/>
                <w:color w:val="auto"/>
                <w:sz w:val="24"/>
              </w:rPr>
            </w:pPr>
          </w:p>
        </w:tc>
        <w:tc>
          <w:tcPr>
            <w:tcW w:w="1326" w:type="dxa"/>
            <w:noWrap w:val="0"/>
            <w:vAlign w:val="center"/>
          </w:tcPr>
          <w:p>
            <w:pPr>
              <w:jc w:val="center"/>
              <w:rPr>
                <w:rFonts w:hint="default" w:eastAsia="仿宋_GB2312"/>
                <w:color w:val="auto"/>
                <w:sz w:val="24"/>
                <w:lang w:val="en-US" w:eastAsia="zh-CN"/>
              </w:rPr>
            </w:pPr>
          </w:p>
        </w:tc>
        <w:tc>
          <w:tcPr>
            <w:tcW w:w="1354" w:type="dxa"/>
            <w:noWrap w:val="0"/>
            <w:vAlign w:val="center"/>
          </w:tcPr>
          <w:p>
            <w:pPr>
              <w:jc w:val="center"/>
              <w:rPr>
                <w:rFonts w:hint="default" w:eastAsia="仿宋_GB2312"/>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6" w:hRule="atLeast"/>
        </w:trPr>
        <w:tc>
          <w:tcPr>
            <w:tcW w:w="1418" w:type="dxa"/>
            <w:noWrap w:val="0"/>
            <w:vAlign w:val="center"/>
          </w:tcPr>
          <w:p>
            <w:pPr>
              <w:jc w:val="center"/>
              <w:rPr>
                <w:rFonts w:eastAsia="仿宋_GB2312"/>
                <w:color w:val="auto"/>
                <w:sz w:val="24"/>
              </w:rPr>
            </w:pPr>
          </w:p>
        </w:tc>
        <w:tc>
          <w:tcPr>
            <w:tcW w:w="1157" w:type="dxa"/>
            <w:noWrap w:val="0"/>
            <w:vAlign w:val="center"/>
          </w:tcPr>
          <w:p>
            <w:pPr>
              <w:jc w:val="center"/>
              <w:rPr>
                <w:rFonts w:eastAsia="仿宋_GB2312"/>
                <w:color w:val="auto"/>
                <w:sz w:val="24"/>
              </w:rPr>
            </w:pPr>
          </w:p>
        </w:tc>
        <w:tc>
          <w:tcPr>
            <w:tcW w:w="1395" w:type="dxa"/>
            <w:noWrap w:val="0"/>
            <w:vAlign w:val="center"/>
          </w:tcPr>
          <w:p>
            <w:pPr>
              <w:jc w:val="center"/>
              <w:rPr>
                <w:rFonts w:hint="default" w:eastAsia="仿宋_GB2312"/>
                <w:color w:val="auto"/>
                <w:sz w:val="24"/>
                <w:lang w:val="en-US" w:eastAsia="zh-CN"/>
              </w:rPr>
            </w:pPr>
          </w:p>
        </w:tc>
        <w:tc>
          <w:tcPr>
            <w:tcW w:w="1417" w:type="dxa"/>
            <w:noWrap w:val="0"/>
            <w:vAlign w:val="center"/>
          </w:tcPr>
          <w:p>
            <w:pPr>
              <w:jc w:val="center"/>
              <w:rPr>
                <w:rFonts w:hint="default" w:eastAsia="仿宋_GB2312"/>
                <w:color w:val="auto"/>
                <w:sz w:val="24"/>
                <w:lang w:val="en-US" w:eastAsia="zh-CN"/>
              </w:rPr>
            </w:pPr>
          </w:p>
        </w:tc>
        <w:tc>
          <w:tcPr>
            <w:tcW w:w="1276" w:type="dxa"/>
            <w:noWrap w:val="0"/>
            <w:vAlign w:val="center"/>
          </w:tcPr>
          <w:p>
            <w:pPr>
              <w:jc w:val="center"/>
              <w:rPr>
                <w:rFonts w:eastAsia="仿宋_GB2312"/>
                <w:color w:val="auto"/>
                <w:sz w:val="24"/>
              </w:rPr>
            </w:pPr>
          </w:p>
        </w:tc>
        <w:tc>
          <w:tcPr>
            <w:tcW w:w="1326" w:type="dxa"/>
            <w:noWrap w:val="0"/>
            <w:vAlign w:val="center"/>
          </w:tcPr>
          <w:p>
            <w:pPr>
              <w:jc w:val="center"/>
              <w:rPr>
                <w:rFonts w:hint="default" w:eastAsia="仿宋_GB2312"/>
                <w:color w:val="auto"/>
                <w:sz w:val="24"/>
                <w:lang w:val="en-US" w:eastAsia="zh-CN"/>
              </w:rPr>
            </w:pPr>
          </w:p>
        </w:tc>
        <w:tc>
          <w:tcPr>
            <w:tcW w:w="1354" w:type="dxa"/>
            <w:noWrap w:val="0"/>
            <w:vAlign w:val="center"/>
          </w:tcPr>
          <w:p>
            <w:pPr>
              <w:jc w:val="center"/>
              <w:rPr>
                <w:rFonts w:hint="default" w:eastAsia="仿宋_GB2312"/>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6" w:hRule="atLeast"/>
        </w:trPr>
        <w:tc>
          <w:tcPr>
            <w:tcW w:w="1418" w:type="dxa"/>
            <w:noWrap w:val="0"/>
            <w:vAlign w:val="center"/>
          </w:tcPr>
          <w:p>
            <w:pPr>
              <w:jc w:val="center"/>
              <w:rPr>
                <w:rFonts w:eastAsia="仿宋_GB2312"/>
                <w:color w:val="auto"/>
                <w:sz w:val="24"/>
              </w:rPr>
            </w:pPr>
          </w:p>
        </w:tc>
        <w:tc>
          <w:tcPr>
            <w:tcW w:w="1157" w:type="dxa"/>
            <w:noWrap w:val="0"/>
            <w:vAlign w:val="center"/>
          </w:tcPr>
          <w:p>
            <w:pPr>
              <w:jc w:val="center"/>
              <w:rPr>
                <w:rFonts w:eastAsia="仿宋_GB2312"/>
                <w:color w:val="auto"/>
                <w:sz w:val="24"/>
              </w:rPr>
            </w:pPr>
          </w:p>
        </w:tc>
        <w:tc>
          <w:tcPr>
            <w:tcW w:w="1395" w:type="dxa"/>
            <w:noWrap w:val="0"/>
            <w:vAlign w:val="center"/>
          </w:tcPr>
          <w:p>
            <w:pPr>
              <w:jc w:val="center"/>
              <w:rPr>
                <w:rFonts w:eastAsia="仿宋_GB2312"/>
                <w:color w:val="auto"/>
                <w:sz w:val="24"/>
              </w:rPr>
            </w:pPr>
          </w:p>
        </w:tc>
        <w:tc>
          <w:tcPr>
            <w:tcW w:w="1417" w:type="dxa"/>
            <w:noWrap w:val="0"/>
            <w:vAlign w:val="center"/>
          </w:tcPr>
          <w:p>
            <w:pPr>
              <w:jc w:val="center"/>
              <w:rPr>
                <w:rFonts w:eastAsia="仿宋_GB2312"/>
                <w:color w:val="auto"/>
                <w:sz w:val="24"/>
              </w:rPr>
            </w:pPr>
          </w:p>
        </w:tc>
        <w:tc>
          <w:tcPr>
            <w:tcW w:w="1276" w:type="dxa"/>
            <w:noWrap w:val="0"/>
            <w:vAlign w:val="center"/>
          </w:tcPr>
          <w:p>
            <w:pPr>
              <w:jc w:val="center"/>
              <w:rPr>
                <w:rFonts w:eastAsia="仿宋_GB2312"/>
                <w:color w:val="auto"/>
                <w:sz w:val="24"/>
              </w:rPr>
            </w:pPr>
          </w:p>
        </w:tc>
        <w:tc>
          <w:tcPr>
            <w:tcW w:w="1326" w:type="dxa"/>
            <w:noWrap w:val="0"/>
            <w:vAlign w:val="center"/>
          </w:tcPr>
          <w:p>
            <w:pPr>
              <w:jc w:val="center"/>
              <w:rPr>
                <w:rFonts w:eastAsia="仿宋_GB2312"/>
                <w:color w:val="auto"/>
                <w:sz w:val="24"/>
              </w:rPr>
            </w:pPr>
          </w:p>
        </w:tc>
        <w:tc>
          <w:tcPr>
            <w:tcW w:w="1354" w:type="dxa"/>
            <w:noWrap w:val="0"/>
            <w:vAlign w:val="center"/>
          </w:tcPr>
          <w:p>
            <w:pPr>
              <w:jc w:val="center"/>
              <w:rPr>
                <w:rFonts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8" w:hRule="atLeast"/>
        </w:trPr>
        <w:tc>
          <w:tcPr>
            <w:tcW w:w="1418" w:type="dxa"/>
            <w:noWrap w:val="0"/>
            <w:vAlign w:val="center"/>
          </w:tcPr>
          <w:p>
            <w:pPr>
              <w:jc w:val="center"/>
              <w:rPr>
                <w:rFonts w:eastAsia="仿宋_GB2312"/>
                <w:color w:val="auto"/>
                <w:sz w:val="24"/>
                <w:highlight w:val="none"/>
              </w:rPr>
            </w:pPr>
            <w:r>
              <w:rPr>
                <w:rFonts w:eastAsia="仿宋_GB2312"/>
                <w:color w:val="auto"/>
                <w:sz w:val="24"/>
                <w:highlight w:val="none"/>
              </w:rPr>
              <w:t>固体废物</w:t>
            </w:r>
          </w:p>
        </w:tc>
        <w:tc>
          <w:tcPr>
            <w:tcW w:w="1157" w:type="dxa"/>
            <w:noWrap w:val="0"/>
            <w:vAlign w:val="center"/>
          </w:tcPr>
          <w:p>
            <w:pPr>
              <w:jc w:val="center"/>
              <w:rPr>
                <w:rFonts w:eastAsia="仿宋_GB2312"/>
                <w:color w:val="auto"/>
                <w:sz w:val="24"/>
                <w:highlight w:val="none"/>
              </w:rPr>
            </w:pPr>
          </w:p>
        </w:tc>
        <w:tc>
          <w:tcPr>
            <w:tcW w:w="1395" w:type="dxa"/>
            <w:noWrap w:val="0"/>
            <w:vAlign w:val="center"/>
          </w:tcPr>
          <w:p>
            <w:pPr>
              <w:jc w:val="center"/>
              <w:rPr>
                <w:rFonts w:hint="default" w:eastAsia="仿宋_GB2312"/>
                <w:color w:val="auto"/>
                <w:sz w:val="24"/>
                <w:highlight w:val="none"/>
                <w:lang w:val="en-US" w:eastAsia="zh-CN"/>
              </w:rPr>
            </w:pPr>
            <w:r>
              <w:rPr>
                <w:rFonts w:hint="eastAsia" w:eastAsia="仿宋_GB2312"/>
                <w:color w:val="auto"/>
                <w:sz w:val="24"/>
                <w:highlight w:val="none"/>
                <w:lang w:val="en-US" w:eastAsia="zh-CN"/>
              </w:rPr>
              <w:t>0.00067</w:t>
            </w:r>
          </w:p>
        </w:tc>
        <w:tc>
          <w:tcPr>
            <w:tcW w:w="1417" w:type="dxa"/>
            <w:noWrap w:val="0"/>
            <w:vAlign w:val="center"/>
          </w:tcPr>
          <w:p>
            <w:pPr>
              <w:jc w:val="center"/>
              <w:rPr>
                <w:rFonts w:hint="eastAsia" w:eastAsia="仿宋_GB2312"/>
                <w:color w:val="auto"/>
                <w:sz w:val="24"/>
                <w:highlight w:val="none"/>
              </w:rPr>
            </w:pPr>
            <w:r>
              <w:rPr>
                <w:rFonts w:hint="eastAsia" w:eastAsia="仿宋_GB2312"/>
                <w:color w:val="auto"/>
                <w:sz w:val="24"/>
                <w:highlight w:val="none"/>
                <w:lang w:val="en-US" w:eastAsia="zh-CN"/>
              </w:rPr>
              <w:t>0.00067</w:t>
            </w:r>
          </w:p>
        </w:tc>
        <w:tc>
          <w:tcPr>
            <w:tcW w:w="1276" w:type="dxa"/>
            <w:noWrap w:val="0"/>
            <w:vAlign w:val="center"/>
          </w:tcPr>
          <w:p>
            <w:pPr>
              <w:jc w:val="center"/>
              <w:rPr>
                <w:rFonts w:eastAsia="仿宋_GB2312"/>
                <w:color w:val="auto"/>
                <w:sz w:val="24"/>
                <w:highlight w:val="yellow"/>
              </w:rPr>
            </w:pPr>
          </w:p>
        </w:tc>
        <w:tc>
          <w:tcPr>
            <w:tcW w:w="1326" w:type="dxa"/>
            <w:noWrap w:val="0"/>
            <w:vAlign w:val="center"/>
          </w:tcPr>
          <w:p>
            <w:pPr>
              <w:jc w:val="center"/>
              <w:rPr>
                <w:rFonts w:eastAsia="仿宋_GB2312"/>
                <w:color w:val="auto"/>
                <w:sz w:val="24"/>
              </w:rPr>
            </w:pPr>
            <w:r>
              <w:rPr>
                <w:rFonts w:eastAsia="仿宋_GB2312"/>
                <w:color w:val="auto"/>
                <w:sz w:val="24"/>
              </w:rPr>
              <w:t>+0</w:t>
            </w:r>
          </w:p>
        </w:tc>
        <w:tc>
          <w:tcPr>
            <w:tcW w:w="1354" w:type="dxa"/>
            <w:noWrap w:val="0"/>
            <w:vAlign w:val="center"/>
          </w:tcPr>
          <w:p>
            <w:pPr>
              <w:jc w:val="center"/>
              <w:rPr>
                <w:rFonts w:eastAsia="仿宋_GB2312"/>
                <w:color w:val="auto"/>
                <w:sz w:val="24"/>
              </w:rPr>
            </w:pPr>
            <w:r>
              <w:rPr>
                <w:rFonts w:eastAsia="仿宋_GB2312"/>
                <w:color w:val="auto"/>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trPr>
        <w:tc>
          <w:tcPr>
            <w:tcW w:w="1418" w:type="dxa"/>
            <w:noWrap w:val="0"/>
            <w:vAlign w:val="center"/>
          </w:tcPr>
          <w:p>
            <w:pPr>
              <w:spacing w:line="360" w:lineRule="exact"/>
              <w:jc w:val="center"/>
              <w:rPr>
                <w:rFonts w:eastAsia="仿宋_GB2312"/>
                <w:color w:val="auto"/>
                <w:sz w:val="24"/>
                <w:highlight w:val="none"/>
              </w:rPr>
            </w:pPr>
            <w:r>
              <w:rPr>
                <w:rFonts w:eastAsia="仿宋_GB2312"/>
                <w:color w:val="auto"/>
                <w:sz w:val="24"/>
                <w:szCs w:val="22"/>
                <w:highlight w:val="none"/>
              </w:rPr>
              <w:t>一般</w:t>
            </w:r>
            <w:r>
              <w:rPr>
                <w:rFonts w:hint="eastAsia" w:eastAsia="仿宋_GB2312"/>
                <w:color w:val="auto"/>
                <w:sz w:val="24"/>
                <w:szCs w:val="22"/>
                <w:highlight w:val="none"/>
                <w:lang w:val="en-US" w:eastAsia="zh-CN"/>
              </w:rPr>
              <w:t>工业</w:t>
            </w:r>
            <w:r>
              <w:rPr>
                <w:rFonts w:eastAsia="仿宋_GB2312"/>
                <w:color w:val="auto"/>
                <w:sz w:val="24"/>
                <w:szCs w:val="22"/>
                <w:highlight w:val="none"/>
              </w:rPr>
              <w:t>固废</w:t>
            </w:r>
          </w:p>
        </w:tc>
        <w:tc>
          <w:tcPr>
            <w:tcW w:w="1157" w:type="dxa"/>
            <w:noWrap w:val="0"/>
            <w:vAlign w:val="center"/>
          </w:tcPr>
          <w:p>
            <w:pPr>
              <w:jc w:val="center"/>
              <w:rPr>
                <w:rFonts w:eastAsia="仿宋_GB2312"/>
                <w:color w:val="auto"/>
                <w:sz w:val="24"/>
                <w:highlight w:val="none"/>
              </w:rPr>
            </w:pPr>
          </w:p>
        </w:tc>
        <w:tc>
          <w:tcPr>
            <w:tcW w:w="1395" w:type="dxa"/>
            <w:noWrap w:val="0"/>
            <w:vAlign w:val="center"/>
          </w:tcPr>
          <w:p>
            <w:pPr>
              <w:jc w:val="center"/>
              <w:rPr>
                <w:rFonts w:hint="default" w:eastAsia="仿宋_GB2312"/>
                <w:color w:val="auto"/>
                <w:sz w:val="24"/>
                <w:highlight w:val="none"/>
                <w:lang w:val="en-US" w:eastAsia="zh-CN"/>
              </w:rPr>
            </w:pPr>
            <w:r>
              <w:rPr>
                <w:rFonts w:hint="eastAsia" w:eastAsia="仿宋_GB2312"/>
                <w:color w:val="auto"/>
                <w:sz w:val="24"/>
                <w:highlight w:val="none"/>
                <w:lang w:val="en-US" w:eastAsia="zh-CN"/>
              </w:rPr>
              <w:t>0.00052</w:t>
            </w:r>
          </w:p>
        </w:tc>
        <w:tc>
          <w:tcPr>
            <w:tcW w:w="1417" w:type="dxa"/>
            <w:noWrap w:val="0"/>
            <w:vAlign w:val="center"/>
          </w:tcPr>
          <w:p>
            <w:pPr>
              <w:jc w:val="center"/>
              <w:rPr>
                <w:rFonts w:hint="default" w:eastAsia="仿宋_GB2312"/>
                <w:color w:val="auto"/>
                <w:sz w:val="24"/>
                <w:highlight w:val="none"/>
                <w:lang w:val="en-US" w:eastAsia="zh-CN"/>
              </w:rPr>
            </w:pPr>
            <w:r>
              <w:rPr>
                <w:rFonts w:hint="eastAsia" w:eastAsia="仿宋_GB2312"/>
                <w:color w:val="auto"/>
                <w:sz w:val="24"/>
                <w:highlight w:val="none"/>
                <w:lang w:val="en-US" w:eastAsia="zh-CN"/>
              </w:rPr>
              <w:t>0.00052</w:t>
            </w:r>
          </w:p>
        </w:tc>
        <w:tc>
          <w:tcPr>
            <w:tcW w:w="1276" w:type="dxa"/>
            <w:noWrap w:val="0"/>
            <w:vAlign w:val="center"/>
          </w:tcPr>
          <w:p>
            <w:pPr>
              <w:jc w:val="center"/>
              <w:rPr>
                <w:rFonts w:eastAsia="仿宋_GB2312"/>
                <w:color w:val="auto"/>
                <w:sz w:val="24"/>
                <w:highlight w:val="yellow"/>
              </w:rPr>
            </w:pPr>
          </w:p>
        </w:tc>
        <w:tc>
          <w:tcPr>
            <w:tcW w:w="1326" w:type="dxa"/>
            <w:noWrap w:val="0"/>
            <w:vAlign w:val="center"/>
          </w:tcPr>
          <w:p>
            <w:pPr>
              <w:jc w:val="center"/>
              <w:rPr>
                <w:rFonts w:eastAsia="仿宋_GB2312"/>
                <w:color w:val="auto"/>
                <w:sz w:val="24"/>
              </w:rPr>
            </w:pPr>
            <w:r>
              <w:rPr>
                <w:rFonts w:eastAsia="仿宋_GB2312"/>
                <w:color w:val="auto"/>
                <w:sz w:val="24"/>
              </w:rPr>
              <w:t>+0</w:t>
            </w:r>
          </w:p>
        </w:tc>
        <w:tc>
          <w:tcPr>
            <w:tcW w:w="1354" w:type="dxa"/>
            <w:noWrap w:val="0"/>
            <w:vAlign w:val="center"/>
          </w:tcPr>
          <w:p>
            <w:pPr>
              <w:jc w:val="center"/>
              <w:rPr>
                <w:rFonts w:eastAsia="仿宋_GB2312"/>
                <w:color w:val="auto"/>
                <w:sz w:val="24"/>
              </w:rPr>
            </w:pPr>
            <w:r>
              <w:rPr>
                <w:rFonts w:eastAsia="仿宋_GB2312"/>
                <w:color w:val="auto"/>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trPr>
        <w:tc>
          <w:tcPr>
            <w:tcW w:w="1418" w:type="dxa"/>
            <w:noWrap w:val="0"/>
            <w:vAlign w:val="center"/>
          </w:tcPr>
          <w:p>
            <w:pPr>
              <w:jc w:val="center"/>
              <w:rPr>
                <w:rFonts w:hint="eastAsia" w:eastAsia="仿宋_GB2312"/>
                <w:color w:val="auto"/>
                <w:sz w:val="24"/>
                <w:highlight w:val="none"/>
                <w:lang w:val="en-US" w:eastAsia="zh-CN"/>
              </w:rPr>
            </w:pPr>
            <w:r>
              <w:rPr>
                <w:rFonts w:hint="eastAsia" w:eastAsia="仿宋_GB2312"/>
                <w:color w:val="auto"/>
                <w:sz w:val="24"/>
                <w:highlight w:val="none"/>
                <w:lang w:val="en-US" w:eastAsia="zh-CN"/>
              </w:rPr>
              <w:t>生活垃圾</w:t>
            </w:r>
          </w:p>
        </w:tc>
        <w:tc>
          <w:tcPr>
            <w:tcW w:w="1157" w:type="dxa"/>
            <w:noWrap w:val="0"/>
            <w:vAlign w:val="center"/>
          </w:tcPr>
          <w:p>
            <w:pPr>
              <w:jc w:val="center"/>
              <w:rPr>
                <w:rFonts w:eastAsia="仿宋_GB2312"/>
                <w:color w:val="auto"/>
                <w:sz w:val="24"/>
                <w:highlight w:val="none"/>
              </w:rPr>
            </w:pPr>
          </w:p>
        </w:tc>
        <w:tc>
          <w:tcPr>
            <w:tcW w:w="1395" w:type="dxa"/>
            <w:noWrap w:val="0"/>
            <w:vAlign w:val="center"/>
          </w:tcPr>
          <w:p>
            <w:pPr>
              <w:jc w:val="center"/>
              <w:rPr>
                <w:rFonts w:hint="default" w:eastAsia="仿宋_GB2312"/>
                <w:color w:val="auto"/>
                <w:sz w:val="24"/>
                <w:highlight w:val="none"/>
                <w:lang w:val="en-US" w:eastAsia="zh-CN"/>
              </w:rPr>
            </w:pPr>
            <w:r>
              <w:rPr>
                <w:rFonts w:eastAsia="仿宋_GB2312"/>
                <w:color w:val="auto"/>
                <w:sz w:val="24"/>
                <w:highlight w:val="none"/>
              </w:rPr>
              <w:t>0.00</w:t>
            </w:r>
            <w:r>
              <w:rPr>
                <w:rFonts w:hint="eastAsia" w:eastAsia="仿宋_GB2312"/>
                <w:color w:val="auto"/>
                <w:sz w:val="24"/>
                <w:highlight w:val="none"/>
                <w:lang w:val="en-US" w:eastAsia="zh-CN"/>
              </w:rPr>
              <w:t>015</w:t>
            </w:r>
          </w:p>
        </w:tc>
        <w:tc>
          <w:tcPr>
            <w:tcW w:w="1417" w:type="dxa"/>
            <w:noWrap w:val="0"/>
            <w:vAlign w:val="center"/>
          </w:tcPr>
          <w:p>
            <w:pPr>
              <w:jc w:val="center"/>
              <w:rPr>
                <w:rFonts w:hint="default" w:eastAsia="仿宋_GB2312"/>
                <w:color w:val="auto"/>
                <w:sz w:val="24"/>
                <w:highlight w:val="none"/>
                <w:lang w:val="en-US" w:eastAsia="zh-CN"/>
              </w:rPr>
            </w:pPr>
            <w:r>
              <w:rPr>
                <w:rFonts w:eastAsia="仿宋_GB2312"/>
                <w:color w:val="auto"/>
                <w:sz w:val="24"/>
                <w:highlight w:val="none"/>
              </w:rPr>
              <w:t>0.00</w:t>
            </w:r>
            <w:r>
              <w:rPr>
                <w:rFonts w:hint="eastAsia" w:eastAsia="仿宋_GB2312"/>
                <w:color w:val="auto"/>
                <w:sz w:val="24"/>
                <w:highlight w:val="none"/>
                <w:lang w:val="en-US" w:eastAsia="zh-CN"/>
              </w:rPr>
              <w:t>015</w:t>
            </w:r>
          </w:p>
        </w:tc>
        <w:tc>
          <w:tcPr>
            <w:tcW w:w="1276" w:type="dxa"/>
            <w:noWrap w:val="0"/>
            <w:vAlign w:val="center"/>
          </w:tcPr>
          <w:p>
            <w:pPr>
              <w:jc w:val="center"/>
              <w:rPr>
                <w:rFonts w:eastAsia="仿宋_GB2312"/>
                <w:color w:val="auto"/>
                <w:sz w:val="24"/>
                <w:highlight w:val="yellow"/>
              </w:rPr>
            </w:pPr>
          </w:p>
        </w:tc>
        <w:tc>
          <w:tcPr>
            <w:tcW w:w="1326" w:type="dxa"/>
            <w:noWrap w:val="0"/>
            <w:vAlign w:val="center"/>
          </w:tcPr>
          <w:p>
            <w:pPr>
              <w:jc w:val="center"/>
              <w:rPr>
                <w:rFonts w:eastAsia="仿宋_GB2312"/>
                <w:color w:val="auto"/>
                <w:sz w:val="24"/>
              </w:rPr>
            </w:pPr>
            <w:r>
              <w:rPr>
                <w:rFonts w:eastAsia="仿宋_GB2312"/>
                <w:color w:val="auto"/>
                <w:sz w:val="24"/>
              </w:rPr>
              <w:t>+0</w:t>
            </w:r>
          </w:p>
        </w:tc>
        <w:tc>
          <w:tcPr>
            <w:tcW w:w="1354" w:type="dxa"/>
            <w:noWrap w:val="0"/>
            <w:vAlign w:val="center"/>
          </w:tcPr>
          <w:p>
            <w:pPr>
              <w:jc w:val="center"/>
              <w:rPr>
                <w:rFonts w:eastAsia="仿宋_GB2312"/>
                <w:color w:val="auto"/>
                <w:sz w:val="24"/>
              </w:rPr>
            </w:pPr>
            <w:r>
              <w:rPr>
                <w:rFonts w:eastAsia="仿宋_GB2312"/>
                <w:color w:val="auto"/>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atLeast"/>
        </w:trPr>
        <w:tc>
          <w:tcPr>
            <w:tcW w:w="1418" w:type="dxa"/>
            <w:noWrap w:val="0"/>
            <w:vAlign w:val="center"/>
          </w:tcPr>
          <w:p>
            <w:pPr>
              <w:jc w:val="center"/>
              <w:rPr>
                <w:rFonts w:eastAsia="仿宋_GB2312"/>
                <w:color w:val="auto"/>
                <w:sz w:val="24"/>
                <w:highlight w:val="yellow"/>
              </w:rPr>
            </w:pPr>
          </w:p>
        </w:tc>
        <w:tc>
          <w:tcPr>
            <w:tcW w:w="1157" w:type="dxa"/>
            <w:noWrap w:val="0"/>
            <w:vAlign w:val="center"/>
          </w:tcPr>
          <w:p>
            <w:pPr>
              <w:jc w:val="center"/>
              <w:rPr>
                <w:color w:val="auto"/>
                <w:sz w:val="24"/>
                <w:highlight w:val="yellow"/>
              </w:rPr>
            </w:pPr>
          </w:p>
        </w:tc>
        <w:tc>
          <w:tcPr>
            <w:tcW w:w="1395" w:type="dxa"/>
            <w:noWrap w:val="0"/>
            <w:vAlign w:val="center"/>
          </w:tcPr>
          <w:p>
            <w:pPr>
              <w:jc w:val="center"/>
              <w:rPr>
                <w:color w:val="auto"/>
                <w:sz w:val="24"/>
                <w:highlight w:val="yellow"/>
              </w:rPr>
            </w:pPr>
          </w:p>
        </w:tc>
        <w:tc>
          <w:tcPr>
            <w:tcW w:w="1417" w:type="dxa"/>
            <w:noWrap w:val="0"/>
            <w:vAlign w:val="center"/>
          </w:tcPr>
          <w:p>
            <w:pPr>
              <w:jc w:val="center"/>
              <w:rPr>
                <w:color w:val="auto"/>
                <w:sz w:val="24"/>
                <w:highlight w:val="yellow"/>
              </w:rPr>
            </w:pPr>
          </w:p>
        </w:tc>
        <w:tc>
          <w:tcPr>
            <w:tcW w:w="1276" w:type="dxa"/>
            <w:noWrap w:val="0"/>
            <w:vAlign w:val="center"/>
          </w:tcPr>
          <w:p>
            <w:pPr>
              <w:jc w:val="center"/>
              <w:rPr>
                <w:color w:val="auto"/>
                <w:sz w:val="24"/>
                <w:highlight w:val="yellow"/>
              </w:rPr>
            </w:pPr>
          </w:p>
        </w:tc>
        <w:tc>
          <w:tcPr>
            <w:tcW w:w="1326" w:type="dxa"/>
            <w:noWrap w:val="0"/>
            <w:vAlign w:val="center"/>
          </w:tcPr>
          <w:p>
            <w:pPr>
              <w:jc w:val="center"/>
              <w:rPr>
                <w:color w:val="auto"/>
                <w:sz w:val="24"/>
              </w:rPr>
            </w:pPr>
          </w:p>
        </w:tc>
        <w:tc>
          <w:tcPr>
            <w:tcW w:w="1354" w:type="dxa"/>
            <w:noWrap w:val="0"/>
            <w:vAlign w:val="center"/>
          </w:tcPr>
          <w:p>
            <w:pPr>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trPr>
        <w:tc>
          <w:tcPr>
            <w:tcW w:w="1418" w:type="dxa"/>
            <w:noWrap w:val="0"/>
            <w:vAlign w:val="center"/>
          </w:tcPr>
          <w:p>
            <w:pPr>
              <w:jc w:val="center"/>
              <w:rPr>
                <w:rFonts w:eastAsia="仿宋_GB2312"/>
                <w:color w:val="auto"/>
                <w:sz w:val="24"/>
              </w:rPr>
            </w:pPr>
          </w:p>
        </w:tc>
        <w:tc>
          <w:tcPr>
            <w:tcW w:w="1157" w:type="dxa"/>
            <w:noWrap w:val="0"/>
            <w:vAlign w:val="center"/>
          </w:tcPr>
          <w:p>
            <w:pPr>
              <w:jc w:val="center"/>
              <w:rPr>
                <w:rFonts w:eastAsia="仿宋_GB2312"/>
                <w:color w:val="auto"/>
                <w:sz w:val="24"/>
              </w:rPr>
            </w:pPr>
          </w:p>
        </w:tc>
        <w:tc>
          <w:tcPr>
            <w:tcW w:w="1395" w:type="dxa"/>
            <w:noWrap w:val="0"/>
            <w:vAlign w:val="center"/>
          </w:tcPr>
          <w:p>
            <w:pPr>
              <w:jc w:val="center"/>
              <w:rPr>
                <w:rFonts w:eastAsia="仿宋_GB2312"/>
                <w:color w:val="auto"/>
                <w:sz w:val="24"/>
              </w:rPr>
            </w:pPr>
          </w:p>
        </w:tc>
        <w:tc>
          <w:tcPr>
            <w:tcW w:w="1417" w:type="dxa"/>
            <w:noWrap w:val="0"/>
            <w:vAlign w:val="center"/>
          </w:tcPr>
          <w:p>
            <w:pPr>
              <w:jc w:val="center"/>
              <w:rPr>
                <w:rFonts w:eastAsia="仿宋_GB2312"/>
                <w:color w:val="auto"/>
                <w:sz w:val="24"/>
              </w:rPr>
            </w:pPr>
          </w:p>
        </w:tc>
        <w:tc>
          <w:tcPr>
            <w:tcW w:w="1276" w:type="dxa"/>
            <w:noWrap w:val="0"/>
            <w:vAlign w:val="center"/>
          </w:tcPr>
          <w:p>
            <w:pPr>
              <w:jc w:val="center"/>
              <w:rPr>
                <w:rFonts w:eastAsia="仿宋_GB2312"/>
                <w:color w:val="auto"/>
                <w:sz w:val="24"/>
              </w:rPr>
            </w:pPr>
          </w:p>
        </w:tc>
        <w:tc>
          <w:tcPr>
            <w:tcW w:w="1326" w:type="dxa"/>
            <w:noWrap w:val="0"/>
            <w:vAlign w:val="center"/>
          </w:tcPr>
          <w:p>
            <w:pPr>
              <w:jc w:val="center"/>
              <w:rPr>
                <w:rFonts w:eastAsia="仿宋_GB2312"/>
                <w:color w:val="auto"/>
                <w:sz w:val="24"/>
              </w:rPr>
            </w:pPr>
          </w:p>
        </w:tc>
        <w:tc>
          <w:tcPr>
            <w:tcW w:w="1354" w:type="dxa"/>
            <w:noWrap w:val="0"/>
            <w:vAlign w:val="center"/>
          </w:tcPr>
          <w:p>
            <w:pPr>
              <w:jc w:val="center"/>
              <w:rPr>
                <w:rFonts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atLeast"/>
        </w:trPr>
        <w:tc>
          <w:tcPr>
            <w:tcW w:w="1418" w:type="dxa"/>
            <w:noWrap w:val="0"/>
            <w:vAlign w:val="center"/>
          </w:tcPr>
          <w:p>
            <w:pPr>
              <w:jc w:val="center"/>
              <w:rPr>
                <w:rFonts w:eastAsia="仿宋_GB2312"/>
                <w:color w:val="auto"/>
                <w:sz w:val="24"/>
              </w:rPr>
            </w:pPr>
          </w:p>
        </w:tc>
        <w:tc>
          <w:tcPr>
            <w:tcW w:w="1157" w:type="dxa"/>
            <w:noWrap w:val="0"/>
            <w:vAlign w:val="center"/>
          </w:tcPr>
          <w:p>
            <w:pPr>
              <w:jc w:val="center"/>
              <w:rPr>
                <w:rFonts w:eastAsia="仿宋_GB2312"/>
                <w:color w:val="auto"/>
                <w:sz w:val="24"/>
              </w:rPr>
            </w:pPr>
          </w:p>
        </w:tc>
        <w:tc>
          <w:tcPr>
            <w:tcW w:w="1395" w:type="dxa"/>
            <w:noWrap w:val="0"/>
            <w:vAlign w:val="center"/>
          </w:tcPr>
          <w:p>
            <w:pPr>
              <w:jc w:val="center"/>
              <w:rPr>
                <w:rFonts w:eastAsia="仿宋_GB2312"/>
                <w:color w:val="auto"/>
                <w:sz w:val="24"/>
              </w:rPr>
            </w:pPr>
          </w:p>
        </w:tc>
        <w:tc>
          <w:tcPr>
            <w:tcW w:w="1417" w:type="dxa"/>
            <w:noWrap w:val="0"/>
            <w:vAlign w:val="center"/>
          </w:tcPr>
          <w:p>
            <w:pPr>
              <w:jc w:val="center"/>
              <w:rPr>
                <w:rFonts w:eastAsia="仿宋_GB2312"/>
                <w:color w:val="auto"/>
                <w:sz w:val="24"/>
              </w:rPr>
            </w:pPr>
          </w:p>
        </w:tc>
        <w:tc>
          <w:tcPr>
            <w:tcW w:w="1276" w:type="dxa"/>
            <w:noWrap w:val="0"/>
            <w:vAlign w:val="center"/>
          </w:tcPr>
          <w:p>
            <w:pPr>
              <w:jc w:val="center"/>
              <w:rPr>
                <w:rFonts w:eastAsia="仿宋_GB2312"/>
                <w:color w:val="auto"/>
                <w:sz w:val="24"/>
              </w:rPr>
            </w:pPr>
          </w:p>
        </w:tc>
        <w:tc>
          <w:tcPr>
            <w:tcW w:w="1326" w:type="dxa"/>
            <w:noWrap w:val="0"/>
            <w:vAlign w:val="center"/>
          </w:tcPr>
          <w:p>
            <w:pPr>
              <w:jc w:val="center"/>
              <w:rPr>
                <w:rFonts w:eastAsia="仿宋_GB2312"/>
                <w:color w:val="auto"/>
                <w:sz w:val="24"/>
              </w:rPr>
            </w:pPr>
          </w:p>
        </w:tc>
        <w:tc>
          <w:tcPr>
            <w:tcW w:w="1354" w:type="dxa"/>
            <w:noWrap w:val="0"/>
            <w:vAlign w:val="center"/>
          </w:tcPr>
          <w:p>
            <w:pPr>
              <w:jc w:val="center"/>
              <w:rPr>
                <w:rFonts w:eastAsia="仿宋_GB2312"/>
                <w:color w:val="auto"/>
                <w:sz w:val="24"/>
              </w:rPr>
            </w:pPr>
          </w:p>
        </w:tc>
      </w:tr>
    </w:tbl>
    <w:p>
      <w:pPr>
        <w:rPr>
          <w:color w:val="auto"/>
          <w:szCs w:val="21"/>
        </w:rPr>
      </w:pPr>
      <w:r>
        <w:rPr>
          <w:color w:val="auto"/>
          <w:szCs w:val="21"/>
        </w:rPr>
        <w:t>注：</w:t>
      </w:r>
    </w:p>
    <w:p>
      <w:pPr>
        <w:numPr>
          <w:ilvl w:val="0"/>
          <w:numId w:val="8"/>
        </w:numPr>
        <w:rPr>
          <w:color w:val="auto"/>
          <w:szCs w:val="21"/>
        </w:rPr>
      </w:pPr>
      <w:r>
        <w:rPr>
          <w:color w:val="auto"/>
          <w:szCs w:val="21"/>
        </w:rPr>
        <w:t>单位：废气量  标米</w:t>
      </w:r>
      <w:r>
        <w:rPr>
          <w:color w:val="auto"/>
          <w:szCs w:val="21"/>
          <w:vertAlign w:val="superscript"/>
        </w:rPr>
        <w:t>3</w:t>
      </w:r>
      <w:r>
        <w:rPr>
          <w:color w:val="auto"/>
          <w:szCs w:val="21"/>
        </w:rPr>
        <w:t>/年；废水、固体废物  万吨/年；一类污染物  千克/年；其他 吨/年。</w:t>
      </w:r>
    </w:p>
    <w:p>
      <w:pPr>
        <w:numPr>
          <w:ilvl w:val="0"/>
          <w:numId w:val="8"/>
        </w:numPr>
        <w:rPr>
          <w:color w:val="auto"/>
          <w:szCs w:val="21"/>
        </w:rPr>
      </w:pPr>
      <w:r>
        <w:rPr>
          <w:color w:val="auto"/>
          <w:szCs w:val="21"/>
        </w:rPr>
        <w:t>“污染物名称”一栏的空格处填写该项目的特征污染物。</w:t>
      </w:r>
    </w:p>
    <w:p>
      <w:pPr>
        <w:numPr>
          <w:ilvl w:val="0"/>
          <w:numId w:val="8"/>
        </w:numPr>
        <w:rPr>
          <w:color w:val="auto"/>
          <w:szCs w:val="21"/>
        </w:rPr>
      </w:pPr>
      <w:r>
        <w:rPr>
          <w:color w:val="auto"/>
          <w:szCs w:val="21"/>
        </w:rPr>
        <w:t>逻辑关系：（5）=（2）-（3）-（4）；（6）=（2）-（3）+（1）-（4）。</w:t>
      </w:r>
    </w:p>
    <w:p>
      <w:pPr>
        <w:numPr>
          <w:ilvl w:val="0"/>
          <w:numId w:val="8"/>
        </w:numPr>
        <w:rPr>
          <w:color w:val="auto"/>
          <w:szCs w:val="21"/>
        </w:rPr>
      </w:pPr>
      <w:r>
        <w:rPr>
          <w:color w:val="auto"/>
          <w:szCs w:val="21"/>
        </w:rPr>
        <w:t>（5）≥0时，取正值；（5）≤0时，取负值。</w:t>
      </w:r>
    </w:p>
    <w:p>
      <w:pPr>
        <w:pageBreakBefore/>
        <w:outlineLvl w:val="0"/>
        <w:rPr>
          <w:rFonts w:hint="eastAsia" w:ascii="黑体" w:hAnsi="黑体" w:eastAsia="黑体" w:cs="黑体"/>
          <w:b w:val="0"/>
          <w:bCs/>
          <w:color w:val="auto"/>
          <w:sz w:val="28"/>
        </w:rPr>
      </w:pPr>
      <w:r>
        <w:rPr>
          <w:rFonts w:hint="eastAsia" w:ascii="黑体" w:hAnsi="黑体" w:eastAsia="黑体" w:cs="黑体"/>
          <w:b w:val="0"/>
          <w:bCs/>
          <w:color w:val="auto"/>
          <w:sz w:val="28"/>
        </w:rPr>
        <w:t>生态影响分析</w:t>
      </w: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7" w:hRule="atLeast"/>
          <w:jc w:val="center"/>
        </w:trPr>
        <w:tc>
          <w:tcPr>
            <w:tcW w:w="9193" w:type="dxa"/>
            <w:noWrap w:val="0"/>
            <w:vAlign w:val="top"/>
          </w:tcPr>
          <w:p>
            <w:pPr>
              <w:spacing w:line="480" w:lineRule="exact"/>
              <w:rPr>
                <w:rFonts w:eastAsia="楷体_GB2312"/>
                <w:color w:val="auto"/>
                <w:sz w:val="24"/>
              </w:rPr>
            </w:pPr>
            <w:r>
              <w:rPr>
                <w:rFonts w:eastAsia="楷体_GB2312"/>
                <w:color w:val="auto"/>
                <w:sz w:val="24"/>
              </w:rPr>
              <w:t>主要生态影响（不够可另附页）</w:t>
            </w:r>
          </w:p>
          <w:p>
            <w:pPr>
              <w:adjustRightInd w:val="0"/>
              <w:snapToGrid w:val="0"/>
              <w:spacing w:line="440" w:lineRule="exact"/>
              <w:ind w:firstLine="480" w:firstLineChars="200"/>
              <w:rPr>
                <w:color w:val="auto"/>
                <w:sz w:val="24"/>
              </w:rPr>
            </w:pPr>
            <w:r>
              <w:rPr>
                <w:snapToGrid w:val="0"/>
                <w:color w:val="auto"/>
                <w:kern w:val="0"/>
                <w:sz w:val="24"/>
              </w:rPr>
              <w:t>项目位于</w:t>
            </w:r>
            <w:r>
              <w:rPr>
                <w:rFonts w:hint="eastAsia" w:ascii="Times New Roman" w:hAnsi="Times New Roman" w:cs="Times New Roman" w:eastAsiaTheme="minorEastAsia"/>
                <w:b w:val="0"/>
                <w:bCs/>
                <w:sz w:val="24"/>
                <w:szCs w:val="22"/>
                <w:lang w:eastAsia="zh-CN"/>
              </w:rPr>
              <w:t>青岛西海岸新区大珠山路东、隐珠山路北</w:t>
            </w:r>
            <w:r>
              <w:rPr>
                <w:rFonts w:hint="default" w:ascii="Times New Roman" w:hAnsi="Times New Roman" w:cs="Times New Roman"/>
                <w:b w:val="0"/>
                <w:bCs w:val="0"/>
                <w:sz w:val="24"/>
                <w:szCs w:val="24"/>
                <w:lang w:val="en-US" w:eastAsia="zh-CN"/>
              </w:rPr>
              <w:t>，项目建成营运后，根据规划在建筑物周围和道路两侧进行绿化，使项目对周围的生态环境影响降到最低。从项目总体来看，该项目对评价区域周围生态环境的影响在环境可接受范围内，不足以导致区域生态环境现状的改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1" w:hRule="atLeast"/>
          <w:jc w:val="center"/>
        </w:trPr>
        <w:tc>
          <w:tcPr>
            <w:tcW w:w="9193" w:type="dxa"/>
            <w:noWrap w:val="0"/>
            <w:vAlign w:val="top"/>
          </w:tcPr>
          <w:p>
            <w:pPr>
              <w:spacing w:line="440" w:lineRule="exact"/>
              <w:rPr>
                <w:rFonts w:eastAsia="楷体_GB2312"/>
                <w:color w:val="auto"/>
                <w:sz w:val="24"/>
              </w:rPr>
            </w:pPr>
            <w:r>
              <w:rPr>
                <w:rFonts w:eastAsia="楷体_GB2312"/>
                <w:color w:val="auto"/>
                <w:sz w:val="24"/>
              </w:rPr>
              <w:t>生态保护措施及预期效果：</w:t>
            </w:r>
          </w:p>
          <w:p>
            <w:pPr>
              <w:adjustRightInd w:val="0"/>
              <w:snapToGrid w:val="0"/>
              <w:spacing w:line="360" w:lineRule="auto"/>
              <w:ind w:firstLine="480" w:firstLineChars="200"/>
              <w:rPr>
                <w:color w:val="auto"/>
                <w:sz w:val="24"/>
                <w:szCs w:val="20"/>
              </w:rPr>
            </w:pPr>
            <w:r>
              <w:rPr>
                <w:color w:val="auto"/>
                <w:sz w:val="24"/>
                <w:szCs w:val="20"/>
              </w:rPr>
              <w:t>绿化可以达到保证地下水的涵养、固碳释氧、降低噪声和扬尘、创造优美的环境目的。项目建成后，</w:t>
            </w:r>
            <w:r>
              <w:rPr>
                <w:rFonts w:hint="eastAsia"/>
                <w:color w:val="auto"/>
                <w:sz w:val="24"/>
                <w:szCs w:val="20"/>
                <w:lang w:val="en-US" w:eastAsia="zh-CN"/>
              </w:rPr>
              <w:t>拟增加厂区绿化率，绿化面积为473m</w:t>
            </w:r>
            <w:r>
              <w:rPr>
                <w:rFonts w:hint="eastAsia"/>
                <w:color w:val="auto"/>
                <w:sz w:val="24"/>
                <w:szCs w:val="20"/>
                <w:vertAlign w:val="superscript"/>
                <w:lang w:val="en-US" w:eastAsia="zh-CN"/>
              </w:rPr>
              <w:t>2</w:t>
            </w:r>
            <w:r>
              <w:rPr>
                <w:color w:val="auto"/>
                <w:sz w:val="24"/>
                <w:szCs w:val="20"/>
              </w:rPr>
              <w:t>。具体措施如下：</w:t>
            </w:r>
          </w:p>
          <w:p>
            <w:pPr>
              <w:adjustRightInd w:val="0"/>
              <w:snapToGrid w:val="0"/>
              <w:spacing w:line="360" w:lineRule="auto"/>
              <w:ind w:firstLine="480" w:firstLineChars="200"/>
              <w:rPr>
                <w:color w:val="auto"/>
                <w:sz w:val="24"/>
                <w:szCs w:val="20"/>
              </w:rPr>
            </w:pPr>
            <w:r>
              <w:rPr>
                <w:color w:val="auto"/>
                <w:sz w:val="24"/>
                <w:szCs w:val="20"/>
              </w:rPr>
              <w:t>一、做好绿化工作</w:t>
            </w:r>
          </w:p>
          <w:p>
            <w:pPr>
              <w:adjustRightInd w:val="0"/>
              <w:snapToGrid w:val="0"/>
              <w:spacing w:line="360" w:lineRule="auto"/>
              <w:ind w:firstLine="480" w:firstLineChars="200"/>
              <w:rPr>
                <w:color w:val="auto"/>
                <w:sz w:val="24"/>
                <w:szCs w:val="20"/>
              </w:rPr>
            </w:pPr>
            <w:r>
              <w:rPr>
                <w:color w:val="auto"/>
                <w:sz w:val="24"/>
                <w:szCs w:val="20"/>
              </w:rPr>
              <w:t>项目绿化可以达到保证地下水的涵养、固碳释氧、降低噪声和扬尘、创造优美的环境目的。具体措施如下：</w:t>
            </w:r>
          </w:p>
          <w:p>
            <w:pPr>
              <w:adjustRightInd w:val="0"/>
              <w:snapToGrid w:val="0"/>
              <w:spacing w:line="360" w:lineRule="auto"/>
              <w:ind w:firstLine="480" w:firstLineChars="200"/>
              <w:rPr>
                <w:color w:val="auto"/>
                <w:sz w:val="24"/>
                <w:szCs w:val="20"/>
              </w:rPr>
            </w:pPr>
            <w:r>
              <w:rPr>
                <w:color w:val="auto"/>
                <w:sz w:val="24"/>
                <w:szCs w:val="20"/>
              </w:rPr>
              <w:t>1、强化绿化工作，提高植被的覆盖率。</w:t>
            </w:r>
          </w:p>
          <w:p>
            <w:pPr>
              <w:adjustRightInd w:val="0"/>
              <w:snapToGrid w:val="0"/>
              <w:spacing w:line="360" w:lineRule="auto"/>
              <w:ind w:firstLine="480" w:firstLineChars="200"/>
              <w:rPr>
                <w:color w:val="auto"/>
                <w:sz w:val="24"/>
                <w:szCs w:val="20"/>
              </w:rPr>
            </w:pPr>
            <w:r>
              <w:rPr>
                <w:color w:val="auto"/>
                <w:sz w:val="24"/>
                <w:szCs w:val="20"/>
              </w:rPr>
              <w:t>2、合理分配绿化乔、灌、草比例。</w:t>
            </w:r>
          </w:p>
          <w:p>
            <w:pPr>
              <w:adjustRightInd w:val="0"/>
              <w:snapToGrid w:val="0"/>
              <w:spacing w:line="360" w:lineRule="auto"/>
              <w:ind w:firstLine="480" w:firstLineChars="200"/>
              <w:rPr>
                <w:color w:val="auto"/>
                <w:sz w:val="24"/>
                <w:szCs w:val="20"/>
              </w:rPr>
            </w:pPr>
            <w:r>
              <w:rPr>
                <w:color w:val="auto"/>
                <w:sz w:val="24"/>
                <w:szCs w:val="20"/>
              </w:rPr>
              <w:t>3、合理布局绿地，充分发挥其功能。项目四周设置绿化带，既起到一定的减弱噪声和吸收汽车尾气的作用，又在降水后，使部分道路雨水径流渗入地下。</w:t>
            </w:r>
          </w:p>
          <w:p>
            <w:pPr>
              <w:adjustRightInd w:val="0"/>
              <w:snapToGrid w:val="0"/>
              <w:spacing w:line="360" w:lineRule="auto"/>
              <w:ind w:firstLine="480" w:firstLineChars="200"/>
              <w:rPr>
                <w:color w:val="auto"/>
                <w:sz w:val="24"/>
                <w:szCs w:val="20"/>
              </w:rPr>
            </w:pPr>
            <w:r>
              <w:rPr>
                <w:color w:val="auto"/>
                <w:sz w:val="24"/>
                <w:szCs w:val="20"/>
              </w:rPr>
              <w:t>4、绿化品种多样化，乡土种和观赏树种、花卉、草种有机结合。</w:t>
            </w:r>
          </w:p>
          <w:p>
            <w:pPr>
              <w:autoSpaceDE w:val="0"/>
              <w:autoSpaceDN w:val="0"/>
              <w:adjustRightInd w:val="0"/>
              <w:snapToGrid w:val="0"/>
              <w:spacing w:line="360" w:lineRule="auto"/>
              <w:ind w:firstLine="480" w:firstLineChars="200"/>
              <w:rPr>
                <w:color w:val="auto"/>
                <w:sz w:val="24"/>
                <w:szCs w:val="20"/>
              </w:rPr>
            </w:pPr>
            <w:r>
              <w:rPr>
                <w:color w:val="auto"/>
                <w:sz w:val="24"/>
                <w:szCs w:val="20"/>
              </w:rPr>
              <w:t>二、在保证出入通畅的情况下，调整道路宽度，增加透水面积；人行道铺设植草砖。</w:t>
            </w:r>
          </w:p>
          <w:p>
            <w:pPr>
              <w:autoSpaceDE w:val="0"/>
              <w:autoSpaceDN w:val="0"/>
              <w:adjustRightInd w:val="0"/>
              <w:snapToGrid w:val="0"/>
              <w:spacing w:line="360" w:lineRule="auto"/>
              <w:ind w:firstLine="480" w:firstLineChars="200"/>
              <w:rPr>
                <w:color w:val="auto"/>
                <w:sz w:val="24"/>
                <w:szCs w:val="20"/>
              </w:rPr>
            </w:pPr>
            <w:r>
              <w:rPr>
                <w:color w:val="auto"/>
                <w:sz w:val="24"/>
                <w:szCs w:val="20"/>
              </w:rPr>
              <w:t>三、污水管网和垃圾暂存点采取严格的防渗措施，选用防渗性能好的材料，污水管网接口要对接好；绿地的土层厚度在0.6m以上，绿地灌溉用喷灌方式，以防止污染地下水。</w:t>
            </w:r>
          </w:p>
          <w:p>
            <w:pPr>
              <w:adjustRightInd w:val="0"/>
              <w:snapToGrid w:val="0"/>
              <w:spacing w:line="360" w:lineRule="auto"/>
              <w:ind w:firstLine="480" w:firstLineChars="200"/>
              <w:rPr>
                <w:color w:val="auto"/>
                <w:sz w:val="24"/>
              </w:rPr>
            </w:pPr>
            <w:r>
              <w:rPr>
                <w:color w:val="auto"/>
                <w:sz w:val="24"/>
                <w:szCs w:val="20"/>
              </w:rPr>
              <w:t>通过采取以上措施后，项目可以改善所在地的生态影响。</w:t>
            </w:r>
          </w:p>
          <w:p>
            <w:pPr>
              <w:spacing w:after="120" w:afterLines="50" w:line="440" w:lineRule="exact"/>
              <w:ind w:firstLine="480" w:firstLineChars="200"/>
              <w:rPr>
                <w:rFonts w:eastAsia="方正宋三简体"/>
                <w:color w:val="auto"/>
                <w:sz w:val="24"/>
              </w:rPr>
            </w:pPr>
          </w:p>
        </w:tc>
      </w:tr>
    </w:tbl>
    <w:p>
      <w:pPr>
        <w:spacing w:line="360" w:lineRule="auto"/>
        <w:outlineLvl w:val="0"/>
        <w:rPr>
          <w:rFonts w:hint="eastAsia" w:ascii="黑体" w:hAnsi="宋体" w:eastAsia="黑体"/>
          <w:b w:val="0"/>
          <w:bCs/>
          <w:sz w:val="32"/>
          <w:szCs w:val="32"/>
        </w:rPr>
      </w:pPr>
      <w:r>
        <w:rPr>
          <w:rFonts w:hint="eastAsia" w:ascii="黑体" w:hAnsi="宋体" w:eastAsia="黑体"/>
          <w:b w:val="0"/>
          <w:bCs/>
          <w:sz w:val="32"/>
          <w:szCs w:val="32"/>
        </w:rPr>
        <w:t>结论与建议</w:t>
      </w:r>
      <w:bookmarkEnd w:id="9"/>
    </w:p>
    <w:tbl>
      <w:tblPr>
        <w:tblStyle w:val="37"/>
        <w:tblW w:w="9060"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06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9060" w:type="dxa"/>
            <w:noWrap w:val="0"/>
            <w:vAlign w:val="top"/>
          </w:tcPr>
          <w:p>
            <w:pPr>
              <w:keepNext w:val="0"/>
              <w:keepLines w:val="0"/>
              <w:pageBreakBefore w:val="0"/>
              <w:widowControl w:val="0"/>
              <w:kinsoku/>
              <w:wordWrap/>
              <w:overflowPunct/>
              <w:topLinePunct w:val="0"/>
              <w:bidi w:val="0"/>
              <w:adjustRightInd w:val="0"/>
              <w:snapToGrid w:val="0"/>
              <w:spacing w:line="360" w:lineRule="auto"/>
              <w:ind w:left="0" w:leftChars="0"/>
              <w:textAlignment w:val="auto"/>
              <w:rPr>
                <w:rFonts w:hint="eastAsia" w:ascii="宋体" w:hAnsi="宋体" w:cs="宋体"/>
                <w:b/>
                <w:sz w:val="24"/>
                <w:szCs w:val="24"/>
              </w:rPr>
            </w:pPr>
            <w:r>
              <w:rPr>
                <w:rFonts w:hint="eastAsia" w:ascii="宋体" w:hAnsi="宋体" w:cs="宋体"/>
                <w:b/>
                <w:bCs/>
                <w:sz w:val="24"/>
                <w:szCs w:val="24"/>
              </w:rPr>
              <w:t>一、</w:t>
            </w:r>
            <w:r>
              <w:rPr>
                <w:rFonts w:hint="eastAsia" w:ascii="宋体" w:hAnsi="宋体" w:cs="宋体"/>
                <w:b/>
                <w:sz w:val="24"/>
                <w:szCs w:val="24"/>
              </w:rPr>
              <w:t>结论</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482" w:firstLineChars="200"/>
              <w:textAlignment w:val="auto"/>
              <w:rPr>
                <w:rFonts w:hint="eastAsia" w:ascii="宋体" w:hAnsi="宋体" w:cs="宋体"/>
                <w:b/>
                <w:sz w:val="24"/>
                <w:szCs w:val="24"/>
              </w:rPr>
            </w:pPr>
            <w:r>
              <w:rPr>
                <w:rFonts w:hint="eastAsia" w:ascii="宋体" w:hAnsi="宋体" w:cs="宋体"/>
                <w:b/>
                <w:sz w:val="24"/>
                <w:szCs w:val="24"/>
              </w:rPr>
              <w:t>1、项目概况</w:t>
            </w:r>
          </w:p>
          <w:p>
            <w:pPr>
              <w:keepNext w:val="0"/>
              <w:keepLines w:val="0"/>
              <w:pageBreakBefore w:val="0"/>
              <w:widowControl w:val="0"/>
              <w:kinsoku/>
              <w:wordWrap/>
              <w:overflowPunct/>
              <w:topLinePunct w:val="0"/>
              <w:bidi w:val="0"/>
              <w:adjustRightInd w:val="0"/>
              <w:snapToGrid w:val="0"/>
              <w:spacing w:line="360" w:lineRule="auto"/>
              <w:ind w:left="0" w:leftChars="0" w:firstLine="480" w:firstLineChars="200"/>
              <w:textAlignment w:val="auto"/>
              <w:rPr>
                <w:rFonts w:hint="eastAsia"/>
                <w:sz w:val="24"/>
                <w:szCs w:val="24"/>
              </w:rPr>
            </w:pPr>
            <w:r>
              <w:rPr>
                <w:rFonts w:hint="default" w:ascii="Times New Roman" w:hAnsi="Times New Roman" w:cs="Times New Roman"/>
                <w:sz w:val="24"/>
                <w:szCs w:val="24"/>
              </w:rPr>
              <w:t>该公司拟投资</w:t>
            </w:r>
            <w:r>
              <w:rPr>
                <w:rFonts w:hint="eastAsia" w:cs="Times New Roman"/>
                <w:sz w:val="24"/>
                <w:szCs w:val="24"/>
                <w:lang w:val="en-US" w:eastAsia="zh-CN"/>
              </w:rPr>
              <w:t>796</w:t>
            </w:r>
            <w:r>
              <w:rPr>
                <w:rFonts w:hint="default" w:ascii="Times New Roman" w:hAnsi="Times New Roman" w:cs="Times New Roman"/>
                <w:sz w:val="24"/>
                <w:szCs w:val="24"/>
              </w:rPr>
              <w:t>万</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租赁</w:t>
            </w:r>
            <w:r>
              <w:rPr>
                <w:rFonts w:hint="default" w:ascii="Times New Roman" w:hAnsi="Times New Roman" w:cs="Times New Roman"/>
                <w:sz w:val="24"/>
                <w:szCs w:val="24"/>
              </w:rPr>
              <w:t>青岛奥立丰工业制品有限公司</w:t>
            </w:r>
            <w:r>
              <w:rPr>
                <w:rFonts w:hint="eastAsia" w:cs="Times New Roman"/>
                <w:sz w:val="24"/>
                <w:szCs w:val="24"/>
                <w:lang w:val="en-US" w:eastAsia="zh-CN"/>
              </w:rPr>
              <w:t>1层闲置</w:t>
            </w:r>
            <w:r>
              <w:rPr>
                <w:rFonts w:hint="default" w:ascii="Times New Roman" w:hAnsi="Times New Roman" w:cs="Times New Roman"/>
                <w:sz w:val="24"/>
                <w:szCs w:val="24"/>
              </w:rPr>
              <w:t>厂房</w:t>
            </w:r>
            <w:r>
              <w:rPr>
                <w:rFonts w:hint="eastAsia" w:cs="Times New Roman"/>
                <w:sz w:val="24"/>
                <w:szCs w:val="24"/>
                <w:lang w:val="en-US" w:eastAsia="zh-CN"/>
              </w:rPr>
              <w:t>及办公楼，总占地</w:t>
            </w:r>
            <w:r>
              <w:rPr>
                <w:rFonts w:hint="default" w:ascii="Times New Roman" w:hAnsi="Times New Roman" w:cs="Times New Roman"/>
                <w:sz w:val="24"/>
                <w:szCs w:val="24"/>
              </w:rPr>
              <w:t>面积为3941</w:t>
            </w:r>
            <w:r>
              <w:rPr>
                <w:rFonts w:hint="eastAsia" w:cs="Times New Roman"/>
                <w:sz w:val="24"/>
                <w:szCs w:val="24"/>
                <w:lang w:val="en-US" w:eastAsia="zh-CN"/>
              </w:rPr>
              <w:t>m</w:t>
            </w:r>
            <w:r>
              <w:rPr>
                <w:rFonts w:hint="eastAsia" w:cs="Times New Roman"/>
                <w:sz w:val="24"/>
                <w:szCs w:val="24"/>
                <w:vertAlign w:val="superscript"/>
                <w:lang w:val="en-US" w:eastAsia="zh-CN"/>
              </w:rPr>
              <w:t>2</w:t>
            </w:r>
            <w:r>
              <w:rPr>
                <w:rFonts w:hint="default" w:ascii="Times New Roman" w:hAnsi="Times New Roman" w:cs="Times New Roman"/>
                <w:sz w:val="24"/>
                <w:szCs w:val="24"/>
              </w:rPr>
              <w:t>，</w:t>
            </w:r>
            <w:r>
              <w:rPr>
                <w:rFonts w:hint="eastAsia" w:cs="Times New Roman"/>
                <w:sz w:val="24"/>
                <w:szCs w:val="24"/>
                <w:lang w:val="en-US" w:eastAsia="zh-CN"/>
              </w:rPr>
              <w:t>总建筑面积为3153m</w:t>
            </w:r>
            <w:r>
              <w:rPr>
                <w:rFonts w:hint="eastAsia" w:cs="Times New Roman"/>
                <w:sz w:val="24"/>
                <w:szCs w:val="24"/>
                <w:vertAlign w:val="superscript"/>
                <w:lang w:val="en-US" w:eastAsia="zh-CN"/>
              </w:rPr>
              <w:t>2</w:t>
            </w:r>
            <w:r>
              <w:rPr>
                <w:rFonts w:hint="eastAsia" w:cs="Times New Roman"/>
                <w:sz w:val="24"/>
                <w:szCs w:val="24"/>
                <w:vertAlign w:val="baseline"/>
                <w:lang w:val="en-US" w:eastAsia="zh-CN"/>
              </w:rPr>
              <w:t>，</w:t>
            </w:r>
            <w:r>
              <w:rPr>
                <w:rFonts w:hint="default" w:ascii="Times New Roman" w:hAnsi="Times New Roman" w:cs="Times New Roman"/>
                <w:sz w:val="24"/>
                <w:szCs w:val="24"/>
              </w:rPr>
              <w:t>建设</w:t>
            </w:r>
            <w:r>
              <w:rPr>
                <w:rFonts w:hint="eastAsia" w:cs="Times New Roman"/>
                <w:sz w:val="24"/>
                <w:szCs w:val="24"/>
                <w:lang w:val="en-US" w:eastAsia="zh-CN"/>
              </w:rPr>
              <w:t>天然食品添加剂</w:t>
            </w:r>
            <w:r>
              <w:rPr>
                <w:rFonts w:hint="default" w:ascii="Times New Roman" w:hAnsi="Times New Roman" w:cs="Times New Roman"/>
                <w:sz w:val="24"/>
                <w:szCs w:val="24"/>
              </w:rPr>
              <w:t>生产线，建成后，达到年产12吨的天然</w:t>
            </w:r>
            <w:r>
              <w:rPr>
                <w:rFonts w:hint="eastAsia" w:cs="Times New Roman"/>
                <w:sz w:val="24"/>
                <w:szCs w:val="24"/>
                <w:lang w:val="en-US" w:eastAsia="zh-CN"/>
              </w:rPr>
              <w:t>食品</w:t>
            </w:r>
            <w:r>
              <w:rPr>
                <w:rFonts w:hint="default" w:ascii="Times New Roman" w:hAnsi="Times New Roman" w:cs="Times New Roman"/>
                <w:sz w:val="24"/>
                <w:szCs w:val="24"/>
              </w:rPr>
              <w:t>添加剂</w:t>
            </w:r>
            <w:r>
              <w:rPr>
                <w:rFonts w:hint="eastAsia" w:cs="Times New Roman"/>
                <w:sz w:val="24"/>
                <w:szCs w:val="24"/>
                <w:lang w:val="en-US" w:eastAsia="zh-CN"/>
              </w:rPr>
              <w:t>的生产能力</w:t>
            </w:r>
            <w:r>
              <w:rPr>
                <w:rFonts w:hint="default" w:ascii="Times New Roman" w:hAnsi="Times New Roman" w:cs="Times New Roman"/>
                <w:sz w:val="24"/>
                <w:szCs w:val="24"/>
              </w:rPr>
              <w:t>。</w:t>
            </w:r>
          </w:p>
          <w:p>
            <w:pPr>
              <w:pStyle w:val="6"/>
              <w:adjustRightInd w:val="0"/>
              <w:snapToGrid w:val="0"/>
              <w:spacing w:line="360" w:lineRule="auto"/>
              <w:ind w:firstLine="480"/>
              <w:rPr>
                <w:rFonts w:ascii="Times New Roman" w:hAnsi="Times New Roman" w:eastAsia="宋体" w:cs="Times New Roman"/>
                <w:color w:val="auto"/>
                <w:sz w:val="24"/>
                <w:szCs w:val="24"/>
              </w:rPr>
            </w:pPr>
            <w:r>
              <w:rPr>
                <w:rFonts w:hint="default" w:ascii="Times New Roman" w:hAnsi="Times New Roman" w:cs="Times New Roman"/>
                <w:b/>
                <w:sz w:val="24"/>
                <w:szCs w:val="24"/>
              </w:rPr>
              <w:t>2、</w:t>
            </w:r>
            <w:r>
              <w:rPr>
                <w:rFonts w:hint="eastAsia" w:ascii="宋体" w:hAnsi="宋体" w:eastAsia="宋体" w:cs="宋体"/>
                <w:b/>
                <w:kern w:val="2"/>
                <w:sz w:val="24"/>
                <w:szCs w:val="24"/>
                <w:lang w:val="en-US" w:eastAsia="zh-CN" w:bidi="ar-SA"/>
              </w:rPr>
              <w:t>政策符合性及选址合理性分析结论</w:t>
            </w:r>
          </w:p>
          <w:p>
            <w:pPr>
              <w:keepNext w:val="0"/>
              <w:keepLines w:val="0"/>
              <w:pageBreakBefore w:val="0"/>
              <w:widowControl w:val="0"/>
              <w:kinsoku/>
              <w:wordWrap/>
              <w:overflowPunct/>
              <w:topLinePunct w:val="0"/>
              <w:bidi w:val="0"/>
              <w:adjustRightInd w:val="0"/>
              <w:snapToGrid w:val="0"/>
              <w:spacing w:line="360" w:lineRule="auto"/>
              <w:ind w:left="0" w:leftChars="0" w:firstLine="480" w:firstLineChars="200"/>
              <w:textAlignment w:val="auto"/>
              <w:rPr>
                <w:rFonts w:hint="eastAsia" w:cs="Times New Roman"/>
                <w:sz w:val="24"/>
                <w:szCs w:val="24"/>
                <w:lang w:val="en-US" w:eastAsia="zh-CN"/>
              </w:rPr>
            </w:pPr>
            <w:r>
              <w:rPr>
                <w:rFonts w:hint="eastAsia" w:cs="Times New Roman"/>
                <w:sz w:val="24"/>
                <w:szCs w:val="24"/>
                <w:lang w:val="en-US" w:eastAsia="zh-CN"/>
              </w:rPr>
              <w:t>该项目属于项目行业类别为</w:t>
            </w:r>
            <w:r>
              <w:rPr>
                <w:rFonts w:hint="default" w:cs="Times New Roman"/>
                <w:sz w:val="24"/>
                <w:szCs w:val="24"/>
                <w:lang w:val="en-US" w:eastAsia="zh-CN"/>
              </w:rPr>
              <w:t>[C1495</w:t>
            </w:r>
            <w:r>
              <w:rPr>
                <w:rFonts w:hint="eastAsia" w:cs="Times New Roman"/>
                <w:sz w:val="24"/>
                <w:szCs w:val="24"/>
                <w:lang w:val="en-US" w:eastAsia="zh-CN"/>
              </w:rPr>
              <w:t>食品及饲料添加剂制造]，该项目属于《产业结构调整指导目录（2019年本）》“鼓励类”中的“</w:t>
            </w:r>
            <w:r>
              <w:rPr>
                <w:rFonts w:hint="default" w:cs="Times New Roman"/>
                <w:sz w:val="24"/>
                <w:szCs w:val="24"/>
                <w:lang w:val="en-US" w:eastAsia="zh-CN"/>
              </w:rPr>
              <w:t>十九、轻工</w:t>
            </w:r>
            <w:r>
              <w:rPr>
                <w:rFonts w:hint="eastAsia" w:cs="Times New Roman"/>
                <w:sz w:val="24"/>
                <w:szCs w:val="24"/>
                <w:lang w:val="en-US" w:eastAsia="zh-CN"/>
              </w:rPr>
              <w:t>的</w:t>
            </w:r>
            <w:r>
              <w:rPr>
                <w:rFonts w:hint="default" w:cs="Times New Roman"/>
                <w:sz w:val="24"/>
                <w:szCs w:val="24"/>
                <w:lang w:val="en-US" w:eastAsia="zh-CN"/>
              </w:rPr>
              <w:t>24</w:t>
            </w:r>
            <w:r>
              <w:rPr>
                <w:rFonts w:hint="eastAsia" w:cs="Times New Roman"/>
                <w:sz w:val="24"/>
                <w:szCs w:val="24"/>
                <w:lang w:val="en-US" w:eastAsia="zh-CN"/>
              </w:rPr>
              <w:t>、天然食品添加剂、天然香料新技术开发与生产”，符合国家产业政策。项目已取得青岛西海岸新区行政审批服务局备案证明（批准文号：2020-370211-14-03-000003）。项目所在地为工业用地，且为工业用地，符合当地总体规划要求。</w:t>
            </w:r>
          </w:p>
          <w:p>
            <w:pPr>
              <w:keepNext w:val="0"/>
              <w:keepLines w:val="0"/>
              <w:pageBreakBefore w:val="0"/>
              <w:widowControl w:val="0"/>
              <w:kinsoku/>
              <w:wordWrap/>
              <w:overflowPunct/>
              <w:topLinePunct w:val="0"/>
              <w:bidi w:val="0"/>
              <w:adjustRightInd w:val="0"/>
              <w:snapToGrid w:val="0"/>
              <w:spacing w:line="360" w:lineRule="auto"/>
              <w:ind w:left="0" w:leftChars="0" w:firstLine="480" w:firstLineChars="200"/>
              <w:textAlignment w:val="auto"/>
              <w:rPr>
                <w:rFonts w:hint="eastAsia" w:cs="Times New Roman"/>
                <w:sz w:val="24"/>
                <w:szCs w:val="24"/>
                <w:lang w:val="en-US" w:eastAsia="zh-CN"/>
              </w:rPr>
            </w:pPr>
            <w:r>
              <w:rPr>
                <w:rFonts w:hint="eastAsia" w:cs="Times New Roman"/>
                <w:sz w:val="24"/>
                <w:szCs w:val="24"/>
                <w:lang w:val="en-US" w:eastAsia="zh-CN"/>
              </w:rPr>
              <w:t>项目周边无饮用水源保护区，不在生态环保红线内，项目不违反《山东省生态保护红线规划（</w:t>
            </w:r>
            <w:r>
              <w:rPr>
                <w:rFonts w:hint="default" w:cs="Times New Roman"/>
                <w:sz w:val="24"/>
                <w:szCs w:val="24"/>
                <w:lang w:val="en-US" w:eastAsia="zh-CN"/>
              </w:rPr>
              <w:t>2016-2020</w:t>
            </w:r>
            <w:r>
              <w:rPr>
                <w:rFonts w:hint="eastAsia" w:cs="Times New Roman"/>
                <w:sz w:val="24"/>
                <w:szCs w:val="24"/>
                <w:lang w:val="en-US" w:eastAsia="zh-CN"/>
              </w:rPr>
              <w:t>年）》相关规定。</w:t>
            </w:r>
          </w:p>
          <w:p>
            <w:pPr>
              <w:adjustRightInd w:val="0"/>
              <w:snapToGrid w:val="0"/>
              <w:spacing w:line="360" w:lineRule="auto"/>
              <w:ind w:firstLine="482" w:firstLineChars="200"/>
              <w:rPr>
                <w:b/>
                <w:bCs/>
                <w:color w:val="auto"/>
                <w:sz w:val="24"/>
              </w:rPr>
            </w:pPr>
            <w:r>
              <w:rPr>
                <w:b/>
                <w:bCs/>
                <w:color w:val="auto"/>
                <w:sz w:val="24"/>
              </w:rPr>
              <w:t>3、环境现状结论</w:t>
            </w:r>
          </w:p>
          <w:p>
            <w:pPr>
              <w:pStyle w:val="6"/>
              <w:adjustRightInd w:val="0"/>
              <w:snapToGrid w:val="0"/>
              <w:spacing w:line="360" w:lineRule="auto"/>
              <w:ind w:firstLine="480"/>
              <w:rPr>
                <w:rFonts w:hint="eastAsia" w:ascii="宋体" w:hAnsi="宋体" w:cs="宋体"/>
                <w:bCs/>
                <w:sz w:val="24"/>
                <w:szCs w:val="24"/>
              </w:rPr>
            </w:pPr>
            <w:r>
              <w:rPr>
                <w:rFonts w:ascii="Times New Roman" w:hAnsi="Times New Roman" w:eastAsia="宋体" w:cs="Times New Roman"/>
                <w:color w:val="auto"/>
                <w:sz w:val="24"/>
                <w:szCs w:val="24"/>
              </w:rPr>
              <w:t>青岛市环境质量报告书（2018年度）分析：青岛市市区PM</w:t>
            </w:r>
            <w:r>
              <w:rPr>
                <w:rFonts w:ascii="Times New Roman" w:hAnsi="Times New Roman" w:eastAsia="宋体" w:cs="Times New Roman"/>
                <w:color w:val="auto"/>
                <w:sz w:val="24"/>
                <w:szCs w:val="24"/>
                <w:vertAlign w:val="subscript"/>
              </w:rPr>
              <w:t>2.5</w:t>
            </w:r>
            <w:r>
              <w:rPr>
                <w:rFonts w:ascii="Times New Roman" w:hAnsi="Times New Roman" w:eastAsia="宋体" w:cs="Times New Roman"/>
                <w:color w:val="auto"/>
                <w:sz w:val="24"/>
                <w:szCs w:val="24"/>
              </w:rPr>
              <w:t>、SO</w:t>
            </w:r>
            <w:r>
              <w:rPr>
                <w:rFonts w:ascii="Times New Roman" w:hAnsi="Times New Roman" w:eastAsia="宋体" w:cs="Times New Roman"/>
                <w:color w:val="auto"/>
                <w:sz w:val="24"/>
                <w:szCs w:val="24"/>
                <w:vertAlign w:val="subscript"/>
              </w:rPr>
              <w:t>2</w:t>
            </w:r>
            <w:r>
              <w:rPr>
                <w:rFonts w:ascii="Times New Roman" w:hAnsi="Times New Roman" w:eastAsia="宋体" w:cs="Times New Roman"/>
                <w:color w:val="auto"/>
                <w:sz w:val="24"/>
                <w:szCs w:val="24"/>
              </w:rPr>
              <w:t>、NO</w:t>
            </w:r>
            <w:r>
              <w:rPr>
                <w:rFonts w:ascii="Times New Roman" w:hAnsi="Times New Roman" w:eastAsia="宋体" w:cs="Times New Roman"/>
                <w:color w:val="auto"/>
                <w:sz w:val="24"/>
                <w:szCs w:val="24"/>
                <w:vertAlign w:val="subscript"/>
              </w:rPr>
              <w:t>2</w:t>
            </w:r>
            <w:r>
              <w:rPr>
                <w:rFonts w:ascii="Times New Roman" w:hAnsi="Times New Roman" w:eastAsia="宋体" w:cs="Times New Roman"/>
                <w:color w:val="auto"/>
                <w:sz w:val="24"/>
                <w:szCs w:val="24"/>
              </w:rPr>
              <w:t>、O</w:t>
            </w:r>
            <w:r>
              <w:rPr>
                <w:rFonts w:ascii="Times New Roman" w:hAnsi="Times New Roman" w:eastAsia="宋体" w:cs="Times New Roman"/>
                <w:color w:val="auto"/>
                <w:sz w:val="24"/>
                <w:szCs w:val="24"/>
                <w:vertAlign w:val="subscript"/>
              </w:rPr>
              <w:t>3</w:t>
            </w:r>
            <w:r>
              <w:rPr>
                <w:rFonts w:ascii="Times New Roman" w:hAnsi="Times New Roman" w:eastAsia="宋体" w:cs="Times New Roman"/>
                <w:color w:val="auto"/>
                <w:sz w:val="24"/>
                <w:szCs w:val="24"/>
              </w:rPr>
              <w:t>、CO浓度符合《环境空气质量标准》（GB3095-2012）中二级标准，PM10浓度超出二级标准，超标倍数为0.03倍；地表水符合《地表水环境质量标准》（GB3838-2002）中的Ⅲ类标准；地下水符合《地下水质量标准》（GB/T14848-2017）中的Ⅲ类标准；项目所在区域噪声现状符合《声环境质量标准》（GB3096-2008）中的</w:t>
            </w:r>
            <w:r>
              <w:rPr>
                <w:rFonts w:hint="eastAsia" w:cs="Times New Roman"/>
                <w:color w:val="auto"/>
                <w:sz w:val="24"/>
                <w:szCs w:val="24"/>
                <w:lang w:val="en-US" w:eastAsia="zh-CN"/>
              </w:rPr>
              <w:t>3</w:t>
            </w:r>
            <w:r>
              <w:rPr>
                <w:rFonts w:ascii="Times New Roman" w:hAnsi="Times New Roman" w:eastAsia="宋体" w:cs="Times New Roman"/>
                <w:color w:val="auto"/>
                <w:sz w:val="24"/>
                <w:szCs w:val="24"/>
              </w:rPr>
              <w:t>类标准要求。</w:t>
            </w:r>
          </w:p>
          <w:p>
            <w:pPr>
              <w:keepNext w:val="0"/>
              <w:keepLines w:val="0"/>
              <w:pageBreakBefore w:val="0"/>
              <w:widowControl w:val="0"/>
              <w:kinsoku/>
              <w:wordWrap/>
              <w:overflowPunct/>
              <w:topLinePunct w:val="0"/>
              <w:bidi w:val="0"/>
              <w:adjustRightInd w:val="0"/>
              <w:snapToGrid w:val="0"/>
              <w:spacing w:line="360" w:lineRule="auto"/>
              <w:ind w:left="0" w:leftChars="0" w:firstLine="482" w:firstLineChars="200"/>
              <w:textAlignment w:val="auto"/>
              <w:rPr>
                <w:rFonts w:hint="eastAsia" w:ascii="宋体" w:hAnsi="宋体" w:cs="宋体"/>
                <w:b/>
                <w:sz w:val="24"/>
                <w:szCs w:val="24"/>
              </w:rPr>
            </w:pPr>
            <w:r>
              <w:rPr>
                <w:rFonts w:hint="default" w:ascii="Times New Roman" w:hAnsi="Times New Roman" w:cs="Times New Roman"/>
                <w:b/>
                <w:sz w:val="24"/>
                <w:szCs w:val="24"/>
                <w:lang w:val="en-US" w:eastAsia="zh-CN"/>
              </w:rPr>
              <w:t>4、</w:t>
            </w:r>
            <w:r>
              <w:rPr>
                <w:rFonts w:hint="eastAsia" w:ascii="Times New Roman" w:hAnsi="Times New Roman" w:cs="Times New Roman"/>
                <w:b/>
                <w:sz w:val="24"/>
                <w:szCs w:val="24"/>
                <w:lang w:val="en-US" w:eastAsia="zh-CN"/>
              </w:rPr>
              <w:t>运营期</w:t>
            </w:r>
            <w:r>
              <w:rPr>
                <w:rFonts w:hint="eastAsia" w:ascii="宋体" w:hAnsi="宋体" w:cs="宋体"/>
                <w:b/>
                <w:sz w:val="24"/>
                <w:szCs w:val="24"/>
              </w:rPr>
              <w:t>环境影响评价结论</w:t>
            </w:r>
          </w:p>
          <w:p>
            <w:pPr>
              <w:keepNext w:val="0"/>
              <w:keepLines w:val="0"/>
              <w:pageBreakBefore w:val="0"/>
              <w:widowControl w:val="0"/>
              <w:kinsoku/>
              <w:wordWrap/>
              <w:overflowPunct/>
              <w:topLinePunct w:val="0"/>
              <w:bidi w:val="0"/>
              <w:adjustRightInd w:val="0"/>
              <w:snapToGrid w:val="0"/>
              <w:spacing w:line="360" w:lineRule="auto"/>
              <w:ind w:left="0" w:leftChars="0" w:firstLine="480" w:firstLineChars="200"/>
              <w:textAlignment w:val="auto"/>
              <w:rPr>
                <w:rFonts w:hint="eastAsia" w:ascii="宋体" w:hAnsi="宋体"/>
                <w:sz w:val="24"/>
                <w:szCs w:val="24"/>
              </w:rPr>
            </w:pPr>
            <w:r>
              <w:rPr>
                <w:rFonts w:hint="eastAsia" w:ascii="宋体" w:hAnsi="宋体"/>
                <w:sz w:val="24"/>
                <w:szCs w:val="24"/>
              </w:rPr>
              <w:t>（1）水环境影响分析</w:t>
            </w:r>
          </w:p>
          <w:p>
            <w:pPr>
              <w:pStyle w:val="5"/>
              <w:adjustRightInd w:val="0"/>
              <w:ind w:firstLine="480" w:firstLineChars="200"/>
              <w:rPr>
                <w:rFonts w:hint="default" w:ascii="Times New Roman" w:hAnsi="Times New Roman" w:cs="Times New Roman"/>
                <w:sz w:val="24"/>
                <w:szCs w:val="24"/>
                <w:lang w:val="en-US" w:eastAsia="zh-CN"/>
              </w:rPr>
            </w:pPr>
            <w:r>
              <w:rPr>
                <w:rFonts w:hint="eastAsia" w:ascii="宋体" w:hAnsi="宋体"/>
                <w:sz w:val="24"/>
                <w:szCs w:val="24"/>
                <w:lang w:val="en-US" w:eastAsia="zh-CN"/>
              </w:rPr>
              <w:t>该</w:t>
            </w:r>
            <w:r>
              <w:rPr>
                <w:rFonts w:hint="eastAsia" w:ascii="宋体" w:hAnsi="宋体"/>
                <w:sz w:val="24"/>
                <w:szCs w:val="24"/>
              </w:rPr>
              <w:t>项目</w:t>
            </w:r>
            <w:r>
              <w:rPr>
                <w:rFonts w:hint="eastAsia" w:ascii="宋体" w:hAnsi="宋体"/>
                <w:sz w:val="24"/>
                <w:szCs w:val="24"/>
                <w:lang w:val="en-US" w:eastAsia="zh-CN"/>
              </w:rPr>
              <w:t>废水主要</w:t>
            </w:r>
            <w:r>
              <w:rPr>
                <w:rFonts w:hint="eastAsia" w:ascii="宋体" w:hAnsi="宋体"/>
                <w:sz w:val="24"/>
                <w:szCs w:val="24"/>
              </w:rPr>
              <w:t>包括</w:t>
            </w:r>
            <w:r>
              <w:rPr>
                <w:rFonts w:hint="eastAsia" w:ascii="宋体" w:hAnsi="宋体"/>
                <w:sz w:val="24"/>
                <w:szCs w:val="24"/>
                <w:lang w:val="en-US" w:eastAsia="zh-CN"/>
              </w:rPr>
              <w:t>原料、设备、车间地面清洗</w:t>
            </w:r>
            <w:r>
              <w:rPr>
                <w:rFonts w:hint="eastAsia" w:ascii="宋体" w:hAnsi="宋体"/>
                <w:sz w:val="24"/>
                <w:szCs w:val="24"/>
              </w:rPr>
              <w:t>废水</w:t>
            </w:r>
            <w:r>
              <w:rPr>
                <w:rFonts w:hint="eastAsia" w:ascii="宋体" w:hAnsi="宋体"/>
                <w:sz w:val="24"/>
                <w:szCs w:val="24"/>
                <w:lang w:eastAsia="zh-CN"/>
              </w:rPr>
              <w:t>、</w:t>
            </w:r>
            <w:r>
              <w:rPr>
                <w:rFonts w:hint="eastAsia" w:ascii="宋体" w:hAnsi="宋体"/>
                <w:sz w:val="24"/>
                <w:szCs w:val="24"/>
                <w:lang w:val="en-US" w:eastAsia="zh-CN"/>
              </w:rPr>
              <w:t>纯水制备浓排水及</w:t>
            </w:r>
            <w:r>
              <w:rPr>
                <w:rFonts w:hint="eastAsia" w:ascii="宋体" w:hAnsi="宋体"/>
                <w:sz w:val="24"/>
                <w:szCs w:val="24"/>
              </w:rPr>
              <w:t>生活污水。</w:t>
            </w:r>
            <w:r>
              <w:rPr>
                <w:rFonts w:hint="eastAsia" w:ascii="宋体" w:hAnsi="宋体"/>
                <w:sz w:val="24"/>
                <w:szCs w:val="24"/>
                <w:lang w:val="en-US" w:eastAsia="zh-CN"/>
              </w:rPr>
              <w:t>纯水制备浓排水回用于清洗车间地面，原料、设备、车间地面清洗</w:t>
            </w:r>
            <w:r>
              <w:rPr>
                <w:rFonts w:hint="eastAsia" w:ascii="宋体" w:hAnsi="宋体"/>
                <w:sz w:val="24"/>
                <w:szCs w:val="24"/>
              </w:rPr>
              <w:t>废水</w:t>
            </w:r>
            <w:r>
              <w:rPr>
                <w:rFonts w:hint="eastAsia" w:ascii="宋体" w:hAnsi="宋体"/>
                <w:sz w:val="24"/>
                <w:szCs w:val="24"/>
                <w:lang w:val="en-US" w:eastAsia="zh-CN"/>
              </w:rPr>
              <w:t>收集后污水处理设施处理，处理后的废水与生活污水一同排入市政污水管网</w:t>
            </w:r>
            <w:r>
              <w:rPr>
                <w:rFonts w:hint="default" w:ascii="Times New Roman" w:hAnsi="Times New Roman" w:cs="Times New Roman"/>
                <w:sz w:val="24"/>
                <w:szCs w:val="24"/>
                <w:lang w:val="en-US" w:eastAsia="zh-CN"/>
              </w:rPr>
              <w:t>，污水排放口出水</w:t>
            </w:r>
          </w:p>
          <w:p>
            <w:pPr>
              <w:pStyle w:val="5"/>
              <w:adjustRightInd w:val="0"/>
              <w:ind w:left="0" w:leftChars="0" w:firstLine="0" w:firstLineChars="0"/>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满足《污水排入城镇下水道水质标准》（GB/T31962-2015）表1中的B级要求。项目废水最终</w:t>
            </w:r>
            <w:r>
              <w:rPr>
                <w:rFonts w:hint="eastAsia" w:cs="Times New Roman"/>
                <w:sz w:val="24"/>
                <w:szCs w:val="24"/>
                <w:lang w:val="en-US" w:eastAsia="zh-CN"/>
              </w:rPr>
              <w:t>排入</w:t>
            </w:r>
            <w:r>
              <w:rPr>
                <w:color w:val="auto"/>
                <w:sz w:val="24"/>
                <w:szCs w:val="22"/>
              </w:rPr>
              <w:t>青岛海清环保科技有限公司污水处理厂</w:t>
            </w:r>
            <w:r>
              <w:rPr>
                <w:rFonts w:hint="default" w:ascii="Times New Roman" w:hAnsi="Times New Roman" w:cs="Times New Roman"/>
                <w:sz w:val="24"/>
                <w:szCs w:val="24"/>
                <w:lang w:val="en-US" w:eastAsia="zh-CN"/>
              </w:rPr>
              <w:t>进一步处理，项目废水对周围水环境影响较小。</w:t>
            </w:r>
          </w:p>
          <w:p>
            <w:pPr>
              <w:keepNext w:val="0"/>
              <w:keepLines w:val="0"/>
              <w:pageBreakBefore w:val="0"/>
              <w:widowControl w:val="0"/>
              <w:kinsoku/>
              <w:wordWrap/>
              <w:overflowPunct/>
              <w:topLinePunct w:val="0"/>
              <w:bidi w:val="0"/>
              <w:adjustRightInd w:val="0"/>
              <w:snapToGrid w:val="0"/>
              <w:spacing w:line="360" w:lineRule="auto"/>
              <w:ind w:left="0" w:leftChars="0" w:firstLine="480" w:firstLineChars="200"/>
              <w:textAlignment w:val="auto"/>
              <w:rPr>
                <w:rFonts w:hint="eastAsia"/>
                <w:sz w:val="24"/>
              </w:rPr>
            </w:pPr>
            <w:r>
              <w:rPr>
                <w:rFonts w:hint="eastAsia"/>
                <w:sz w:val="24"/>
              </w:rPr>
              <w:t>（2）</w:t>
            </w:r>
            <w:r>
              <w:rPr>
                <w:rFonts w:hint="eastAsia"/>
                <w:sz w:val="24"/>
                <w:lang w:val="en-US" w:eastAsia="zh-CN"/>
              </w:rPr>
              <w:t>大气</w:t>
            </w:r>
            <w:r>
              <w:rPr>
                <w:rFonts w:hint="eastAsia"/>
                <w:sz w:val="24"/>
              </w:rPr>
              <w:t>环境影响分析</w:t>
            </w:r>
          </w:p>
          <w:p>
            <w:pPr>
              <w:keepNext w:val="0"/>
              <w:keepLines w:val="0"/>
              <w:pageBreakBefore w:val="0"/>
              <w:widowControl w:val="0"/>
              <w:kinsoku/>
              <w:wordWrap/>
              <w:overflowPunct/>
              <w:topLinePunct w:val="0"/>
              <w:autoSpaceDE/>
              <w:autoSpaceDN/>
              <w:bidi w:val="0"/>
              <w:adjustRightInd w:val="0"/>
              <w:snapToGrid w:val="0"/>
              <w:spacing w:line="360" w:lineRule="auto"/>
              <w:ind w:firstLine="456" w:firstLineChars="200"/>
              <w:rPr>
                <w:rFonts w:hint="default"/>
                <w:color w:val="auto"/>
                <w:sz w:val="24"/>
                <w:szCs w:val="22"/>
                <w:lang w:val="en-US" w:eastAsia="zh-CN"/>
              </w:rPr>
            </w:pPr>
            <w:r>
              <w:rPr>
                <w:rFonts w:hint="eastAsia" w:hAnsi="宋体"/>
                <w:spacing w:val="-6"/>
                <w:sz w:val="24"/>
                <w:lang w:val="en-US" w:eastAsia="zh-CN"/>
              </w:rPr>
              <w:t>项目废气主要来源于</w:t>
            </w:r>
            <w:r>
              <w:rPr>
                <w:rFonts w:hint="eastAsia"/>
                <w:sz w:val="24"/>
                <w:szCs w:val="24"/>
                <w:lang w:val="en-US" w:eastAsia="zh-CN"/>
              </w:rPr>
              <w:t>提取、冷却工序及污水处理站产生的异味气体，以臭气浓度表征</w:t>
            </w:r>
            <w:r>
              <w:rPr>
                <w:rFonts w:hint="eastAsia" w:hAnsi="宋体"/>
                <w:spacing w:val="-6"/>
                <w:sz w:val="24"/>
                <w:lang w:eastAsia="zh-CN"/>
              </w:rPr>
              <w:t>。</w:t>
            </w:r>
            <w:r>
              <w:rPr>
                <w:rFonts w:hint="eastAsia" w:hAnsi="宋体"/>
                <w:spacing w:val="-6"/>
                <w:sz w:val="24"/>
                <w:lang w:val="en-US" w:eastAsia="zh-CN"/>
              </w:rPr>
              <w:t>提取过程全程密闭，</w:t>
            </w:r>
            <w:r>
              <w:rPr>
                <w:rFonts w:hint="eastAsia" w:hAnsi="宋体"/>
                <w:spacing w:val="-6"/>
                <w:sz w:val="24"/>
                <w:szCs w:val="22"/>
                <w:lang w:val="en-US" w:eastAsia="zh-CN"/>
              </w:rPr>
              <w:t>真空干燥机负压运行，异味气体不会逸散至外界；提取结束</w:t>
            </w:r>
            <w:r>
              <w:rPr>
                <w:rFonts w:hint="default" w:ascii="Times New Roman" w:hAnsi="Times New Roman" w:cs="Times New Roman"/>
                <w:spacing w:val="-6"/>
                <w:sz w:val="24"/>
                <w:szCs w:val="22"/>
                <w:highlight w:val="none"/>
                <w:lang w:val="en-US" w:eastAsia="zh-CN"/>
              </w:rPr>
              <w:t>后，气体状态下提取物经冷却水冷凝至真空罐中，</w:t>
            </w:r>
            <w:r>
              <w:rPr>
                <w:rFonts w:hint="eastAsia" w:ascii="Times New Roman" w:hAnsi="Times New Roman" w:cs="Times New Roman"/>
                <w:sz w:val="24"/>
                <w:szCs w:val="24"/>
                <w:highlight w:val="none"/>
                <w:lang w:val="en-US" w:eastAsia="zh-CN"/>
              </w:rPr>
              <w:t>有微量</w:t>
            </w:r>
            <w:r>
              <w:rPr>
                <w:rFonts w:hint="default" w:ascii="Times New Roman" w:hAnsi="Times New Roman" w:cs="Times New Roman"/>
                <w:sz w:val="24"/>
                <w:szCs w:val="24"/>
                <w:highlight w:val="none"/>
                <w:lang w:val="en-US" w:eastAsia="zh-CN"/>
              </w:rPr>
              <w:t>不</w:t>
            </w:r>
            <w:r>
              <w:rPr>
                <w:rFonts w:hint="eastAsia"/>
                <w:sz w:val="24"/>
                <w:szCs w:val="24"/>
                <w:lang w:val="en-US" w:eastAsia="zh-CN"/>
              </w:rPr>
              <w:t>凝气在车间无组织排放</w:t>
            </w:r>
            <w:r>
              <w:rPr>
                <w:rFonts w:hint="eastAsia" w:cs="Times New Roman"/>
                <w:kern w:val="2"/>
                <w:sz w:val="24"/>
                <w:szCs w:val="24"/>
                <w:lang w:val="en-US" w:eastAsia="zh-CN" w:bidi="ar-SA"/>
              </w:rPr>
              <w:t>，厂界臭气浓度满足</w:t>
            </w:r>
            <w:r>
              <w:rPr>
                <w:rFonts w:hint="eastAsia"/>
                <w:color w:val="auto"/>
                <w:sz w:val="24"/>
                <w:szCs w:val="22"/>
                <w:lang w:val="en-US" w:eastAsia="zh-CN"/>
              </w:rPr>
              <w:t>《恶臭污染物排标准》（GB14554-93）表1二级标准要求。</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rPr>
                <w:rFonts w:hint="default"/>
                <w:color w:val="auto"/>
                <w:sz w:val="24"/>
                <w:szCs w:val="22"/>
                <w:lang w:val="en-US" w:eastAsia="zh-CN"/>
              </w:rPr>
            </w:pPr>
            <w:r>
              <w:rPr>
                <w:rFonts w:hint="eastAsia" w:ascii="Times New Roman" w:hAnsi="Times New Roman" w:eastAsia="宋体" w:cs="Times New Roman"/>
                <w:kern w:val="2"/>
                <w:sz w:val="24"/>
                <w:szCs w:val="24"/>
                <w:lang w:val="en-US" w:eastAsia="zh-CN" w:bidi="ar-SA"/>
              </w:rPr>
              <w:t>污水处理站异味气体来源于格栅、厌氧池及污泥浓缩池，由于该项目废水处理量低，</w:t>
            </w:r>
            <w:r>
              <w:rPr>
                <w:rFonts w:hint="eastAsia" w:cs="Times New Roman"/>
                <w:kern w:val="2"/>
                <w:sz w:val="24"/>
                <w:szCs w:val="24"/>
                <w:lang w:val="en-US" w:eastAsia="zh-CN" w:bidi="ar-SA"/>
              </w:rPr>
              <w:t>且产生异味气体的污水处理设备加盖密闭，因此污水处理站恶臭气体排放满足</w:t>
            </w:r>
            <w:r>
              <w:rPr>
                <w:rFonts w:hint="eastAsia"/>
                <w:color w:val="auto"/>
                <w:sz w:val="24"/>
                <w:szCs w:val="22"/>
                <w:lang w:val="en-US" w:eastAsia="zh-CN"/>
              </w:rPr>
              <w:t>《恶臭污染物排标准》（GB14554-93）表1二级标准要求。</w:t>
            </w:r>
          </w:p>
          <w:p>
            <w:pPr>
              <w:numPr>
                <w:ilvl w:val="0"/>
                <w:numId w:val="0"/>
              </w:numPr>
              <w:adjustRightInd w:val="0"/>
              <w:snapToGrid w:val="0"/>
              <w:spacing w:line="360" w:lineRule="auto"/>
              <w:ind w:firstLine="420" w:firstLineChars="200"/>
              <w:rPr>
                <w:rFonts w:hint="eastAsia"/>
                <w:sz w:val="24"/>
              </w:rPr>
            </w:pPr>
            <w:r>
              <w:rPr>
                <w:rFonts w:hint="eastAsia"/>
                <w:lang w:val="en-US" w:eastAsia="zh-CN"/>
              </w:rPr>
              <w:t xml:space="preserve"> </w:t>
            </w:r>
            <w:r>
              <w:rPr>
                <w:rFonts w:hint="eastAsia" w:ascii="Times New Roman" w:hAnsi="Times New Roman" w:eastAsia="宋体" w:cs="Times New Roman"/>
                <w:kern w:val="2"/>
                <w:sz w:val="24"/>
                <w:szCs w:val="24"/>
                <w:lang w:val="en-US" w:eastAsia="zh-CN" w:bidi="ar-SA"/>
              </w:rPr>
              <w:t>综上所述，</w:t>
            </w:r>
            <w:r>
              <w:rPr>
                <w:rFonts w:hint="eastAsia" w:cs="Times New Roman"/>
                <w:kern w:val="2"/>
                <w:sz w:val="24"/>
                <w:szCs w:val="24"/>
                <w:lang w:val="en-US" w:eastAsia="zh-CN" w:bidi="ar-SA"/>
              </w:rPr>
              <w:t>采取上述防治措施，该项目产生的异味气体对周边环境影响较小。</w:t>
            </w:r>
          </w:p>
          <w:p>
            <w:pPr>
              <w:keepNext w:val="0"/>
              <w:keepLines w:val="0"/>
              <w:pageBreakBefore w:val="0"/>
              <w:widowControl w:val="0"/>
              <w:kinsoku/>
              <w:wordWrap/>
              <w:overflowPunct/>
              <w:topLinePunct w:val="0"/>
              <w:bidi w:val="0"/>
              <w:adjustRightInd w:val="0"/>
              <w:snapToGrid w:val="0"/>
              <w:spacing w:line="360" w:lineRule="auto"/>
              <w:ind w:left="0" w:leftChars="0" w:firstLine="480" w:firstLineChars="200"/>
              <w:textAlignment w:val="auto"/>
              <w:rPr>
                <w:rFonts w:hint="eastAsia"/>
                <w:sz w:val="24"/>
              </w:rPr>
            </w:pPr>
            <w:r>
              <w:rPr>
                <w:rFonts w:hint="eastAsia"/>
                <w:sz w:val="24"/>
              </w:rPr>
              <w:t>（3）声环境</w:t>
            </w:r>
            <w:r>
              <w:rPr>
                <w:rFonts w:hint="eastAsia"/>
                <w:sz w:val="24"/>
                <w:lang w:val="en-US" w:eastAsia="zh-CN"/>
              </w:rPr>
              <w:t>影响</w:t>
            </w:r>
            <w:r>
              <w:rPr>
                <w:rFonts w:hint="eastAsia"/>
                <w:sz w:val="24"/>
              </w:rPr>
              <w:t>分析</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rPr>
            </w:pPr>
            <w:r>
              <w:rPr>
                <w:rFonts w:hint="eastAsia"/>
                <w:sz w:val="24"/>
                <w:lang w:val="en-US" w:eastAsia="zh-CN"/>
              </w:rPr>
              <w:t>该</w:t>
            </w:r>
            <w:r>
              <w:rPr>
                <w:rFonts w:hint="eastAsia"/>
                <w:sz w:val="24"/>
              </w:rPr>
              <w:t>项目</w:t>
            </w:r>
            <w:r>
              <w:rPr>
                <w:rFonts w:hint="eastAsia"/>
                <w:sz w:val="24"/>
                <w:lang w:val="en-US" w:eastAsia="zh-CN"/>
              </w:rPr>
              <w:t>噪声主要来源于生产</w:t>
            </w:r>
            <w:r>
              <w:rPr>
                <w:rFonts w:hint="eastAsia"/>
                <w:sz w:val="24"/>
              </w:rPr>
              <w:t>设备</w:t>
            </w:r>
            <w:r>
              <w:rPr>
                <w:rFonts w:hint="eastAsia"/>
                <w:sz w:val="24"/>
                <w:lang w:val="en-US" w:eastAsia="zh-CN"/>
              </w:rPr>
              <w:t>及各类泵</w:t>
            </w:r>
            <w:r>
              <w:rPr>
                <w:rFonts w:hint="eastAsia"/>
                <w:sz w:val="24"/>
              </w:rPr>
              <w:t>产生的噪声值约为60～</w:t>
            </w:r>
            <w:r>
              <w:rPr>
                <w:rFonts w:hint="eastAsia"/>
                <w:sz w:val="24"/>
                <w:lang w:val="en-US" w:eastAsia="zh-CN"/>
              </w:rPr>
              <w:t>80</w:t>
            </w:r>
            <w:r>
              <w:rPr>
                <w:rFonts w:hint="eastAsia"/>
                <w:sz w:val="24"/>
              </w:rPr>
              <w:t>dB，噪声值较小。</w:t>
            </w:r>
            <w:r>
              <w:rPr>
                <w:rFonts w:hint="eastAsia"/>
                <w:sz w:val="24"/>
                <w:lang w:val="en-US" w:eastAsia="zh-CN"/>
              </w:rPr>
              <w:t>生产</w:t>
            </w:r>
            <w:r>
              <w:rPr>
                <w:rFonts w:hint="eastAsia"/>
                <w:sz w:val="24"/>
              </w:rPr>
              <w:t>设备均设置在室内</w:t>
            </w:r>
            <w:r>
              <w:rPr>
                <w:rFonts w:hint="eastAsia"/>
                <w:sz w:val="24"/>
                <w:lang w:eastAsia="zh-CN"/>
              </w:rPr>
              <w:t>；</w:t>
            </w:r>
            <w:r>
              <w:rPr>
                <w:rFonts w:hint="eastAsia" w:cs="Times New Roman"/>
                <w:sz w:val="24"/>
                <w:szCs w:val="24"/>
                <w:lang w:val="en-US" w:eastAsia="zh-CN"/>
              </w:rPr>
              <w:t>优先采用</w:t>
            </w:r>
            <w:r>
              <w:rPr>
                <w:rFonts w:hint="default" w:ascii="Times New Roman" w:hAnsi="Times New Roman" w:cs="Times New Roman"/>
                <w:sz w:val="24"/>
                <w:szCs w:val="24"/>
              </w:rPr>
              <w:t>先进设备，</w:t>
            </w:r>
            <w:r>
              <w:rPr>
                <w:rFonts w:hint="eastAsia" w:cs="Times New Roman"/>
                <w:sz w:val="24"/>
                <w:szCs w:val="24"/>
                <w:lang w:val="en-US" w:eastAsia="zh-CN"/>
              </w:rPr>
              <w:t>高噪声设备设置基础减振，通过减振、建筑物隔声及距离衰减，</w:t>
            </w:r>
            <w:r>
              <w:rPr>
                <w:rFonts w:hint="eastAsia" w:ascii="Times New Roman" w:hAnsi="Times New Roman" w:cs="Times New Roman"/>
                <w:sz w:val="24"/>
                <w:szCs w:val="24"/>
                <w:lang w:val="en-US" w:eastAsia="zh-CN"/>
              </w:rPr>
              <w:t>该</w:t>
            </w:r>
            <w:r>
              <w:rPr>
                <w:rFonts w:hint="default" w:ascii="Times New Roman" w:hAnsi="Times New Roman" w:cs="Times New Roman"/>
                <w:sz w:val="24"/>
                <w:szCs w:val="24"/>
              </w:rPr>
              <w:t>项目噪声设备对环境影响小，</w:t>
            </w:r>
            <w:r>
              <w:rPr>
                <w:rFonts w:hint="default" w:ascii="Times New Roman" w:hAnsi="Times New Roman" w:cs="Times New Roman"/>
                <w:sz w:val="24"/>
                <w:szCs w:val="24"/>
                <w:lang w:val="en-US" w:eastAsia="zh-CN"/>
              </w:rPr>
              <w:t>厂界噪声满足</w:t>
            </w:r>
            <w:r>
              <w:rPr>
                <w:rFonts w:hint="default" w:ascii="Times New Roman" w:hAnsi="Times New Roman" w:cs="Times New Roman"/>
                <w:color w:val="auto"/>
                <w:sz w:val="24"/>
              </w:rPr>
              <w:t>《工业企业厂界环境噪声排放标准》（GB12348-2008）中的</w:t>
            </w:r>
            <w:r>
              <w:rPr>
                <w:rFonts w:hint="eastAsia" w:cs="Times New Roman"/>
                <w:color w:val="auto"/>
                <w:sz w:val="24"/>
                <w:lang w:val="en-US" w:eastAsia="zh-CN"/>
              </w:rPr>
              <w:t>3</w:t>
            </w:r>
            <w:r>
              <w:rPr>
                <w:rFonts w:hint="default" w:ascii="Times New Roman" w:hAnsi="Times New Roman" w:cs="Times New Roman"/>
                <w:color w:val="auto"/>
                <w:sz w:val="24"/>
              </w:rPr>
              <w:t>类标准。</w:t>
            </w:r>
            <w:r>
              <w:rPr>
                <w:rFonts w:hint="eastAsia"/>
                <w:sz w:val="24"/>
                <w:szCs w:val="22"/>
                <w:lang w:val="en-US" w:eastAsia="zh-CN"/>
              </w:rPr>
              <w:t>因此本项目噪声设备对</w:t>
            </w:r>
            <w:r>
              <w:rPr>
                <w:rFonts w:hint="eastAsia"/>
                <w:sz w:val="24"/>
              </w:rPr>
              <w:t>环境影响小。</w:t>
            </w:r>
          </w:p>
          <w:p>
            <w:pPr>
              <w:keepNext w:val="0"/>
              <w:keepLines w:val="0"/>
              <w:pageBreakBefore w:val="0"/>
              <w:widowControl w:val="0"/>
              <w:kinsoku/>
              <w:wordWrap/>
              <w:overflowPunct/>
              <w:topLinePunct w:val="0"/>
              <w:bidi w:val="0"/>
              <w:adjustRightInd w:val="0"/>
              <w:snapToGrid w:val="0"/>
              <w:spacing w:line="360" w:lineRule="auto"/>
              <w:ind w:left="0" w:leftChars="0" w:firstLine="480" w:firstLineChars="200"/>
              <w:textAlignment w:val="auto"/>
              <w:rPr>
                <w:rFonts w:hint="eastAsia"/>
                <w:sz w:val="24"/>
              </w:rPr>
            </w:pPr>
            <w:r>
              <w:rPr>
                <w:rFonts w:hint="eastAsia"/>
                <w:sz w:val="24"/>
              </w:rPr>
              <w:t>（4）固体废物的影响分析</w:t>
            </w:r>
          </w:p>
          <w:p>
            <w:pPr>
              <w:keepNext w:val="0"/>
              <w:keepLines w:val="0"/>
              <w:pageBreakBefore w:val="0"/>
              <w:widowControl w:val="0"/>
              <w:tabs>
                <w:tab w:val="left" w:pos="420"/>
              </w:tabs>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eastAsia" w:hAnsi="宋体"/>
                <w:bCs/>
                <w:sz w:val="24"/>
                <w:lang w:val="en-US" w:eastAsia="zh-CN"/>
              </w:rPr>
              <w:t>项目固体废物主要包括不合格原料、植物残渣、污水处理站污泥及生活垃圾</w:t>
            </w:r>
            <w:r>
              <w:rPr>
                <w:rFonts w:hint="eastAsia"/>
                <w:color w:val="auto"/>
                <w:sz w:val="24"/>
                <w:lang w:eastAsia="zh-CN"/>
              </w:rPr>
              <w:t>。</w:t>
            </w:r>
            <w:r>
              <w:rPr>
                <w:rFonts w:hint="eastAsia" w:cs="Times New Roman"/>
                <w:color w:val="auto"/>
                <w:sz w:val="24"/>
                <w:lang w:val="en-US" w:eastAsia="zh-CN"/>
              </w:rPr>
              <w:t>项目不合格原料及</w:t>
            </w:r>
            <w:r>
              <w:rPr>
                <w:rFonts w:hint="eastAsia" w:cs="Times New Roman"/>
                <w:color w:val="auto"/>
                <w:sz w:val="24"/>
                <w:szCs w:val="24"/>
                <w:lang w:val="en-US" w:eastAsia="zh-CN"/>
              </w:rPr>
              <w:t>污水处理站污泥</w:t>
            </w:r>
            <w:r>
              <w:rPr>
                <w:rFonts w:hint="eastAsia" w:cs="Times New Roman"/>
                <w:color w:val="auto"/>
                <w:sz w:val="24"/>
                <w:lang w:val="en-US" w:eastAsia="zh-CN"/>
              </w:rPr>
              <w:t>，属于一般工业固体废物，与生活垃圾一同由城市环卫部门定期清运</w:t>
            </w:r>
            <w:r>
              <w:rPr>
                <w:rFonts w:hint="default" w:ascii="Times New Roman" w:hAnsi="Times New Roman" w:cs="Times New Roman"/>
                <w:color w:val="auto"/>
                <w:sz w:val="24"/>
              </w:rPr>
              <w:t>。</w:t>
            </w:r>
            <w:r>
              <w:rPr>
                <w:rFonts w:hint="eastAsia" w:cs="Times New Roman"/>
                <w:color w:val="auto"/>
                <w:sz w:val="24"/>
                <w:szCs w:val="24"/>
                <w:lang w:val="en-US" w:eastAsia="zh-CN"/>
              </w:rPr>
              <w:t>植物残渣属于一般工业固体废物，由相</w:t>
            </w:r>
            <w:r>
              <w:rPr>
                <w:rFonts w:hint="eastAsia" w:cs="Times New Roman"/>
                <w:color w:val="auto"/>
                <w:sz w:val="24"/>
                <w:szCs w:val="24"/>
                <w:highlight w:val="none"/>
                <w:lang w:val="en-US" w:eastAsia="zh-CN"/>
              </w:rPr>
              <w:t>关食品单位回收利用。</w:t>
            </w:r>
          </w:p>
          <w:p>
            <w:pPr>
              <w:pStyle w:val="5"/>
              <w:adjustRightInd w:val="0"/>
              <w:rPr>
                <w:color w:val="auto"/>
                <w:sz w:val="24"/>
                <w:szCs w:val="24"/>
              </w:rPr>
            </w:pPr>
            <w:r>
              <w:rPr>
                <w:color w:val="auto"/>
                <w:sz w:val="24"/>
                <w:szCs w:val="24"/>
              </w:rPr>
              <w:t>各类固废均有合理可行的处置去向，对周围环境产生影响较小。</w:t>
            </w:r>
          </w:p>
          <w:p>
            <w:pPr>
              <w:pStyle w:val="5"/>
              <w:numPr>
                <w:ilvl w:val="0"/>
                <w:numId w:val="9"/>
              </w:numPr>
              <w:adjustRightInd w:val="0"/>
              <w:rPr>
                <w:rFonts w:hint="eastAsia"/>
                <w:color w:val="auto"/>
                <w:sz w:val="24"/>
                <w:szCs w:val="24"/>
              </w:rPr>
            </w:pPr>
            <w:r>
              <w:rPr>
                <w:rFonts w:hint="eastAsia"/>
                <w:color w:val="auto"/>
                <w:sz w:val="24"/>
                <w:szCs w:val="24"/>
              </w:rPr>
              <w:t>土壤环境影响分析</w:t>
            </w:r>
          </w:p>
          <w:p>
            <w:pPr>
              <w:adjustRightInd w:val="0"/>
              <w:snapToGrid w:val="0"/>
              <w:spacing w:line="360" w:lineRule="auto"/>
              <w:ind w:firstLine="480" w:firstLineChars="200"/>
              <w:rPr>
                <w:b/>
                <w:color w:val="auto"/>
                <w:sz w:val="24"/>
                <w:szCs w:val="24"/>
              </w:rPr>
            </w:pPr>
            <w:r>
              <w:rPr>
                <w:color w:val="auto"/>
                <w:sz w:val="24"/>
                <w:szCs w:val="24"/>
              </w:rPr>
              <w:t>根据《环境影响评价技术导则 土壤环境（试行）》（HJ964-2018）附录A表A.1，该项目属于</w:t>
            </w:r>
            <w:r>
              <w:rPr>
                <w:color w:val="auto"/>
                <w:sz w:val="24"/>
                <w:szCs w:val="24"/>
              </w:rPr>
              <w:fldChar w:fldCharType="begin"/>
            </w:r>
            <w:r>
              <w:rPr>
                <w:color w:val="auto"/>
                <w:sz w:val="24"/>
                <w:szCs w:val="24"/>
              </w:rPr>
              <w:instrText xml:space="preserve"> = 4 \* ROMAN \* MERGEFORMAT </w:instrText>
            </w:r>
            <w:r>
              <w:rPr>
                <w:color w:val="auto"/>
                <w:sz w:val="24"/>
                <w:szCs w:val="24"/>
              </w:rPr>
              <w:fldChar w:fldCharType="separate"/>
            </w:r>
            <w:r>
              <w:rPr>
                <w:color w:val="auto"/>
                <w:sz w:val="24"/>
                <w:szCs w:val="24"/>
              </w:rPr>
              <w:t>IV</w:t>
            </w:r>
            <w:r>
              <w:rPr>
                <w:color w:val="auto"/>
                <w:sz w:val="24"/>
                <w:szCs w:val="24"/>
              </w:rPr>
              <w:fldChar w:fldCharType="end"/>
            </w:r>
            <w:r>
              <w:rPr>
                <w:color w:val="auto"/>
                <w:sz w:val="24"/>
                <w:szCs w:val="24"/>
              </w:rPr>
              <w:t>类项目，本项目可不开展土壤环境评价工作。</w:t>
            </w:r>
          </w:p>
          <w:p>
            <w:pPr>
              <w:pStyle w:val="5"/>
              <w:numPr>
                <w:ilvl w:val="0"/>
                <w:numId w:val="9"/>
              </w:numPr>
              <w:adjustRightInd w:val="0"/>
              <w:rPr>
                <w:color w:val="auto"/>
                <w:sz w:val="24"/>
                <w:szCs w:val="24"/>
              </w:rPr>
            </w:pPr>
            <w:r>
              <w:rPr>
                <w:color w:val="auto"/>
                <w:sz w:val="24"/>
                <w:szCs w:val="24"/>
              </w:rPr>
              <w:t>环境风险影响结论</w:t>
            </w:r>
          </w:p>
          <w:p>
            <w:pPr>
              <w:adjustRightInd w:val="0"/>
              <w:snapToGrid w:val="0"/>
              <w:spacing w:line="360" w:lineRule="auto"/>
              <w:ind w:firstLine="480" w:firstLineChars="200"/>
              <w:rPr>
                <w:color w:val="auto"/>
                <w:sz w:val="24"/>
                <w:szCs w:val="24"/>
              </w:rPr>
            </w:pPr>
            <w:r>
              <w:rPr>
                <w:rFonts w:hint="eastAsia"/>
                <w:color w:val="auto"/>
                <w:sz w:val="24"/>
                <w:szCs w:val="24"/>
                <w:lang w:val="en-US" w:eastAsia="zh-CN"/>
              </w:rPr>
              <w:t>项目原料不涉及</w:t>
            </w:r>
            <w:r>
              <w:rPr>
                <w:color w:val="auto"/>
                <w:sz w:val="24"/>
                <w:szCs w:val="24"/>
              </w:rPr>
              <w:t>《建设项目环境风险评价技术导则》（HJ169-2018）附录B</w:t>
            </w:r>
            <w:r>
              <w:rPr>
                <w:rFonts w:hint="eastAsia"/>
                <w:color w:val="auto"/>
                <w:sz w:val="24"/>
                <w:szCs w:val="24"/>
                <w:lang w:val="en-US" w:eastAsia="zh-CN"/>
              </w:rPr>
              <w:t>所列</w:t>
            </w:r>
            <w:r>
              <w:rPr>
                <w:color w:val="auto"/>
                <w:sz w:val="24"/>
                <w:szCs w:val="24"/>
              </w:rPr>
              <w:t>要的危险物质，项目环境风险潜势值为</w:t>
            </w:r>
            <w:r>
              <w:rPr>
                <w:color w:val="auto"/>
                <w:sz w:val="24"/>
                <w:szCs w:val="24"/>
              </w:rPr>
              <w:fldChar w:fldCharType="begin"/>
            </w:r>
            <w:r>
              <w:rPr>
                <w:color w:val="auto"/>
                <w:sz w:val="24"/>
                <w:szCs w:val="24"/>
              </w:rPr>
              <w:instrText xml:space="preserve"> = 1 \* ROMAN </w:instrText>
            </w:r>
            <w:r>
              <w:rPr>
                <w:color w:val="auto"/>
                <w:sz w:val="24"/>
                <w:szCs w:val="24"/>
              </w:rPr>
              <w:fldChar w:fldCharType="separate"/>
            </w:r>
            <w:r>
              <w:rPr>
                <w:color w:val="auto"/>
                <w:sz w:val="24"/>
                <w:szCs w:val="24"/>
              </w:rPr>
              <w:t>I</w:t>
            </w:r>
            <w:r>
              <w:rPr>
                <w:color w:val="auto"/>
                <w:sz w:val="24"/>
                <w:szCs w:val="24"/>
              </w:rPr>
              <w:fldChar w:fldCharType="end"/>
            </w:r>
            <w:r>
              <w:rPr>
                <w:color w:val="auto"/>
                <w:sz w:val="24"/>
                <w:szCs w:val="24"/>
              </w:rPr>
              <w:t>，环境风险简单分析。在采取可靠的风险防范措施、应急措施情况下，该项目环境风险可防控。</w:t>
            </w:r>
          </w:p>
          <w:p>
            <w:pPr>
              <w:keepNext w:val="0"/>
              <w:keepLines w:val="0"/>
              <w:pageBreakBefore w:val="0"/>
              <w:widowControl w:val="0"/>
              <w:kinsoku/>
              <w:wordWrap/>
              <w:overflowPunct/>
              <w:topLinePunct w:val="0"/>
              <w:bidi w:val="0"/>
              <w:adjustRightInd w:val="0"/>
              <w:snapToGrid w:val="0"/>
              <w:spacing w:line="360" w:lineRule="auto"/>
              <w:ind w:left="0" w:leftChars="0" w:firstLine="482" w:firstLineChars="200"/>
              <w:textAlignment w:val="auto"/>
              <w:rPr>
                <w:rFonts w:hint="eastAsia" w:ascii="宋体" w:hAnsi="宋体"/>
                <w:b/>
                <w:sz w:val="24"/>
                <w:szCs w:val="24"/>
              </w:rPr>
            </w:pPr>
            <w:r>
              <w:rPr>
                <w:rFonts w:hint="default" w:ascii="Times New Roman" w:hAnsi="Times New Roman" w:cs="Times New Roman"/>
                <w:b/>
                <w:sz w:val="24"/>
                <w:szCs w:val="24"/>
              </w:rPr>
              <w:t>5</w:t>
            </w:r>
            <w:r>
              <w:rPr>
                <w:rFonts w:hint="eastAsia" w:ascii="宋体" w:hAnsi="宋体"/>
                <w:b/>
                <w:sz w:val="24"/>
                <w:szCs w:val="24"/>
              </w:rPr>
              <w:t>、总结论</w:t>
            </w:r>
          </w:p>
          <w:p>
            <w:pPr>
              <w:pStyle w:val="11"/>
              <w:adjustRightInd w:val="0"/>
              <w:snapToGrid w:val="0"/>
              <w:spacing w:after="0" w:line="360" w:lineRule="auto"/>
              <w:ind w:firstLine="480" w:firstLineChars="200"/>
              <w:rPr>
                <w:rFonts w:ascii="Times New Roman" w:hAnsi="Times New Roman"/>
                <w:color w:val="auto"/>
                <w:sz w:val="24"/>
                <w:lang w:val="en-US" w:eastAsia="zh-CN"/>
              </w:rPr>
            </w:pPr>
            <w:r>
              <w:rPr>
                <w:rFonts w:hint="eastAsia" w:ascii="Times New Roman" w:hAnsi="Times New Roman"/>
                <w:color w:val="auto"/>
                <w:sz w:val="24"/>
                <w:lang w:val="en-US" w:eastAsia="zh-CN"/>
              </w:rPr>
              <w:t>该项</w:t>
            </w:r>
            <w:r>
              <w:rPr>
                <w:rFonts w:ascii="Times New Roman" w:hAnsi="Times New Roman"/>
                <w:color w:val="auto"/>
                <w:sz w:val="24"/>
                <w:lang w:val="en-US" w:eastAsia="zh-CN"/>
              </w:rPr>
              <w:t>目符合国家产业政策；在严格落实污染防治措施、风险防范措施、应急措施和建议要求的情况下，污染物可做到达标排放，对环境影响较小，环境风险</w:t>
            </w:r>
            <w:r>
              <w:rPr>
                <w:rFonts w:hint="eastAsia"/>
                <w:color w:val="auto"/>
                <w:sz w:val="24"/>
                <w:lang w:val="en-US" w:eastAsia="zh-CN"/>
              </w:rPr>
              <w:t>可防控</w:t>
            </w:r>
            <w:r>
              <w:rPr>
                <w:rFonts w:ascii="Times New Roman" w:hAnsi="Times New Roman"/>
                <w:color w:val="auto"/>
                <w:sz w:val="24"/>
                <w:lang w:val="en-US" w:eastAsia="zh-CN"/>
              </w:rPr>
              <w:t>。从环境保护角度来讲，</w:t>
            </w:r>
            <w:r>
              <w:rPr>
                <w:rFonts w:hint="eastAsia" w:ascii="Times New Roman" w:hAnsi="Times New Roman"/>
                <w:color w:val="auto"/>
                <w:sz w:val="24"/>
                <w:lang w:val="en-US" w:eastAsia="zh-CN"/>
              </w:rPr>
              <w:t>该</w:t>
            </w:r>
            <w:r>
              <w:rPr>
                <w:rFonts w:ascii="Times New Roman" w:hAnsi="Times New Roman"/>
                <w:color w:val="auto"/>
                <w:sz w:val="24"/>
                <w:lang w:val="en-US" w:eastAsia="zh-CN"/>
              </w:rPr>
              <w:t>项目建设可行。</w:t>
            </w:r>
          </w:p>
          <w:p>
            <w:pPr>
              <w:pStyle w:val="11"/>
              <w:keepNext w:val="0"/>
              <w:keepLines w:val="0"/>
              <w:pageBreakBefore w:val="0"/>
              <w:widowControl w:val="0"/>
              <w:kinsoku/>
              <w:wordWrap/>
              <w:overflowPunct/>
              <w:topLinePunct w:val="0"/>
              <w:bidi w:val="0"/>
              <w:adjustRightInd w:val="0"/>
              <w:snapToGrid w:val="0"/>
              <w:spacing w:after="0" w:afterLines="0" w:line="360" w:lineRule="auto"/>
              <w:ind w:left="0" w:leftChars="0" w:firstLine="482" w:firstLineChars="200"/>
              <w:textAlignment w:val="auto"/>
              <w:rPr>
                <w:rFonts w:hint="eastAsia"/>
                <w:b/>
                <w:sz w:val="24"/>
                <w:szCs w:val="24"/>
              </w:rPr>
            </w:pPr>
            <w:r>
              <w:rPr>
                <w:rFonts w:hint="eastAsia"/>
                <w:b/>
                <w:sz w:val="24"/>
                <w:szCs w:val="24"/>
              </w:rPr>
              <w:t>二、建议</w:t>
            </w:r>
          </w:p>
          <w:p>
            <w:pPr>
              <w:keepNext w:val="0"/>
              <w:keepLines w:val="0"/>
              <w:pageBreakBefore w:val="0"/>
              <w:widowControl w:val="0"/>
              <w:kinsoku/>
              <w:wordWrap/>
              <w:overflowPunct/>
              <w:topLinePunct w:val="0"/>
              <w:bidi w:val="0"/>
              <w:adjustRightInd w:val="0"/>
              <w:snapToGrid w:val="0"/>
              <w:spacing w:line="360" w:lineRule="auto"/>
              <w:ind w:left="0" w:leftChars="0"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1、建设项目实施后，要制订并落实必要的环境管理规章制度，加强环保管理以确 保污染物稳定达标排放，做到经济、社会、环境效益统一协调发展。</w:t>
            </w:r>
          </w:p>
          <w:p>
            <w:pPr>
              <w:keepNext w:val="0"/>
              <w:keepLines w:val="0"/>
              <w:pageBreakBefore w:val="0"/>
              <w:widowControl w:val="0"/>
              <w:kinsoku/>
              <w:wordWrap/>
              <w:overflowPunct/>
              <w:topLinePunct w:val="0"/>
              <w:bidi w:val="0"/>
              <w:adjustRightInd w:val="0"/>
              <w:snapToGrid w:val="0"/>
              <w:spacing w:line="360" w:lineRule="auto"/>
              <w:ind w:left="0" w:leftChars="0"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2、为了能使本项目产生的各项污染防治措施达到较好的实际使用效果，建设单位须加强环保设施的维修、保养及管理，确保污染治理设施正常运转。</w:t>
            </w:r>
          </w:p>
          <w:p>
            <w:pPr>
              <w:keepNext w:val="0"/>
              <w:keepLines w:val="0"/>
              <w:pageBreakBefore w:val="0"/>
              <w:widowControl w:val="0"/>
              <w:kinsoku/>
              <w:wordWrap/>
              <w:overflowPunct/>
              <w:topLinePunct w:val="0"/>
              <w:bidi w:val="0"/>
              <w:adjustRightInd w:val="0"/>
              <w:snapToGrid w:val="0"/>
              <w:spacing w:line="360" w:lineRule="auto"/>
              <w:ind w:left="0" w:leftChars="0"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3、建设单位应加强污染治理设备维护保养，杜绝非正常排放，发现问题及时解决。</w:t>
            </w:r>
          </w:p>
          <w:p>
            <w:pPr>
              <w:pStyle w:val="2"/>
              <w:rPr>
                <w:rFonts w:hint="default" w:ascii="Times New Roman" w:hAnsi="Times New Roman" w:cs="Times New Roman"/>
                <w:sz w:val="24"/>
                <w:szCs w:val="24"/>
              </w:rPr>
            </w:pPr>
          </w:p>
          <w:p>
            <w:pPr>
              <w:rPr>
                <w:rFonts w:hint="default" w:ascii="Times New Roman" w:hAnsi="Times New Roman" w:cs="Times New Roman"/>
                <w:sz w:val="24"/>
                <w:szCs w:val="24"/>
              </w:rPr>
            </w:pPr>
          </w:p>
          <w:p>
            <w:pPr>
              <w:pStyle w:val="2"/>
              <w:rPr>
                <w:rFonts w:hint="default" w:ascii="Times New Roman" w:hAnsi="Times New Roman" w:cs="Times New Roman"/>
                <w:sz w:val="24"/>
                <w:szCs w:val="24"/>
              </w:rPr>
            </w:pPr>
          </w:p>
          <w:p>
            <w:pPr>
              <w:rPr>
                <w:rFonts w:hint="default" w:ascii="Times New Roman" w:hAnsi="Times New Roman" w:cs="Times New Roman"/>
                <w:sz w:val="24"/>
                <w:szCs w:val="24"/>
              </w:rPr>
            </w:pPr>
          </w:p>
          <w:p>
            <w:pPr>
              <w:pStyle w:val="2"/>
              <w:rPr>
                <w:rFonts w:hint="default"/>
              </w:rPr>
            </w:pPr>
          </w:p>
          <w:p>
            <w:pPr>
              <w:pStyle w:val="2"/>
              <w:rPr>
                <w:rFonts w:hint="default" w:ascii="Times New Roman" w:hAnsi="Times New Roman" w:cs="Times New Roman"/>
                <w:sz w:val="24"/>
                <w:szCs w:val="24"/>
              </w:rPr>
            </w:pPr>
          </w:p>
          <w:p>
            <w:pPr>
              <w:rPr>
                <w:rFonts w:hint="default" w:ascii="Times New Roman" w:hAnsi="Times New Roman" w:cs="Times New Roman"/>
                <w:sz w:val="24"/>
                <w:szCs w:val="24"/>
              </w:rPr>
            </w:pPr>
          </w:p>
          <w:p>
            <w:pPr>
              <w:pStyle w:val="2"/>
              <w:rPr>
                <w:rFonts w:hint="default" w:ascii="Times New Roman" w:hAnsi="Times New Roman" w:cs="Times New Roman"/>
                <w:sz w:val="24"/>
                <w:szCs w:val="24"/>
              </w:rPr>
            </w:pPr>
          </w:p>
          <w:p>
            <w:pPr>
              <w:rPr>
                <w:rFonts w:hint="default" w:ascii="Times New Roman" w:hAnsi="Times New Roman" w:cs="Times New Roman"/>
                <w:sz w:val="24"/>
                <w:szCs w:val="24"/>
              </w:rPr>
            </w:pPr>
          </w:p>
          <w:p>
            <w:pPr>
              <w:pStyle w:val="2"/>
              <w:rPr>
                <w:rFonts w:hint="default" w:ascii="Times New Roman" w:hAnsi="Times New Roman" w:cs="Times New Roman"/>
                <w:sz w:val="24"/>
                <w:szCs w:val="24"/>
              </w:rPr>
            </w:pPr>
          </w:p>
          <w:p>
            <w:pPr>
              <w:rPr>
                <w:rFonts w:hint="default" w:ascii="Times New Roman" w:hAnsi="Times New Roman" w:cs="Times New Roman"/>
                <w:sz w:val="24"/>
                <w:szCs w:val="24"/>
              </w:rPr>
            </w:pPr>
          </w:p>
          <w:p>
            <w:pPr>
              <w:pStyle w:val="2"/>
              <w:rPr>
                <w:rFonts w:hint="default" w:ascii="Times New Roman" w:hAnsi="Times New Roman" w:cs="Times New Roman"/>
                <w:sz w:val="24"/>
                <w:szCs w:val="24"/>
              </w:rPr>
            </w:pPr>
          </w:p>
          <w:p>
            <w:pPr>
              <w:rPr>
                <w:rFonts w:hint="default"/>
              </w:rPr>
            </w:pPr>
          </w:p>
          <w:p>
            <w:pPr>
              <w:pStyle w:val="11"/>
              <w:keepNext w:val="0"/>
              <w:keepLines w:val="0"/>
              <w:pageBreakBefore w:val="0"/>
              <w:widowControl w:val="0"/>
              <w:kinsoku/>
              <w:wordWrap/>
              <w:overflowPunct/>
              <w:topLinePunct w:val="0"/>
              <w:bidi w:val="0"/>
              <w:adjustRightInd w:val="0"/>
              <w:snapToGrid w:val="0"/>
              <w:spacing w:after="0" w:afterLines="0" w:line="360" w:lineRule="auto"/>
              <w:ind w:left="0" w:leftChars="0" w:firstLine="482" w:firstLineChars="200"/>
              <w:textAlignment w:val="auto"/>
              <w:rPr>
                <w:rFonts w:hint="eastAsia"/>
                <w:b/>
                <w:sz w:val="24"/>
                <w:szCs w:val="24"/>
              </w:rPr>
            </w:pPr>
          </w:p>
          <w:p>
            <w:pPr>
              <w:pStyle w:val="11"/>
              <w:keepNext w:val="0"/>
              <w:keepLines w:val="0"/>
              <w:pageBreakBefore w:val="0"/>
              <w:widowControl w:val="0"/>
              <w:kinsoku/>
              <w:wordWrap/>
              <w:overflowPunct/>
              <w:topLinePunct w:val="0"/>
              <w:bidi w:val="0"/>
              <w:adjustRightInd w:val="0"/>
              <w:snapToGrid w:val="0"/>
              <w:spacing w:after="0" w:afterLines="0" w:line="360" w:lineRule="auto"/>
              <w:ind w:left="0" w:leftChars="0" w:firstLine="482" w:firstLineChars="200"/>
              <w:textAlignment w:val="auto"/>
              <w:rPr>
                <w:rFonts w:hint="eastAsia"/>
                <w:b/>
                <w:sz w:val="24"/>
                <w:szCs w:val="24"/>
              </w:rPr>
            </w:pPr>
          </w:p>
          <w:p>
            <w:pPr>
              <w:pStyle w:val="11"/>
              <w:keepNext w:val="0"/>
              <w:keepLines w:val="0"/>
              <w:pageBreakBefore w:val="0"/>
              <w:widowControl w:val="0"/>
              <w:kinsoku/>
              <w:wordWrap/>
              <w:overflowPunct/>
              <w:topLinePunct w:val="0"/>
              <w:bidi w:val="0"/>
              <w:adjustRightInd w:val="0"/>
              <w:snapToGrid w:val="0"/>
              <w:spacing w:after="0" w:afterLines="0" w:line="360" w:lineRule="auto"/>
              <w:ind w:left="0" w:leftChars="0" w:firstLine="482" w:firstLineChars="200"/>
              <w:textAlignment w:val="auto"/>
              <w:rPr>
                <w:rFonts w:hint="eastAsia"/>
                <w:b/>
                <w:sz w:val="24"/>
                <w:szCs w:val="24"/>
              </w:rPr>
            </w:pPr>
          </w:p>
          <w:p>
            <w:pPr>
              <w:pStyle w:val="11"/>
              <w:keepNext w:val="0"/>
              <w:keepLines w:val="0"/>
              <w:pageBreakBefore w:val="0"/>
              <w:widowControl w:val="0"/>
              <w:kinsoku/>
              <w:wordWrap/>
              <w:overflowPunct/>
              <w:topLinePunct w:val="0"/>
              <w:bidi w:val="0"/>
              <w:adjustRightInd w:val="0"/>
              <w:snapToGrid w:val="0"/>
              <w:spacing w:after="0" w:afterLines="0" w:line="360" w:lineRule="auto"/>
              <w:ind w:left="0" w:leftChars="0" w:firstLine="482" w:firstLineChars="200"/>
              <w:textAlignment w:val="auto"/>
              <w:rPr>
                <w:rFonts w:hint="eastAsia"/>
                <w:b/>
                <w:sz w:val="24"/>
                <w:szCs w:val="24"/>
              </w:rPr>
            </w:pPr>
          </w:p>
          <w:p>
            <w:pPr>
              <w:pStyle w:val="11"/>
              <w:spacing w:after="0" w:line="520" w:lineRule="exact"/>
              <w:ind w:firstLine="0" w:firstLineChars="0"/>
              <w:rPr>
                <w:rFonts w:hint="eastAsia"/>
                <w:b/>
                <w:sz w:val="24"/>
                <w:szCs w:val="24"/>
              </w:rPr>
            </w:pPr>
          </w:p>
        </w:tc>
      </w:tr>
    </w:tbl>
    <w:p>
      <w:pPr>
        <w:spacing w:line="520" w:lineRule="exact"/>
        <w:rPr>
          <w:rFonts w:hint="eastAsia" w:ascii="宋体" w:hAnsi="宋体" w:cs="宋体"/>
          <w:sz w:val="28"/>
        </w:rPr>
      </w:pPr>
    </w:p>
    <w:p>
      <w:pPr>
        <w:spacing w:line="520" w:lineRule="exact"/>
        <w:rPr>
          <w:rFonts w:hint="eastAsia"/>
        </w:rPr>
      </w:pPr>
    </w:p>
    <w:p>
      <w:pPr>
        <w:spacing w:line="520" w:lineRule="exact"/>
        <w:rPr>
          <w:rFonts w:hint="eastAsia"/>
        </w:rPr>
      </w:pPr>
    </w:p>
    <w:sectPr>
      <w:footerReference r:id="rId6" w:type="default"/>
      <w:pgSz w:w="11906" w:h="16838"/>
      <w:pgMar w:top="1701" w:right="1588" w:bottom="1985" w:left="1588" w:header="851" w:footer="1134" w:gutter="0"/>
      <w:pgBorders w:offsetFrom="page">
        <w:top w:val="none" w:sz="0" w:space="0"/>
        <w:left w:val="none" w:sz="0" w:space="0"/>
        <w:bottom w:val="none" w:sz="0" w:space="0"/>
        <w:right w:val="none" w:sz="0" w:space="0"/>
      </w:pgBorders>
      <w:pgNumType w:fmt="decimal" w:start="25"/>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BankGothic Lt BT">
    <w:panose1 w:val="020B0607020203060204"/>
    <w:charset w:val="00"/>
    <w:family w:val="swiss"/>
    <w:pitch w:val="default"/>
    <w:sig w:usb0="00000000" w:usb1="00000000" w:usb2="00000000" w:usb3="00000000" w:csb0="00000000" w:csb1="00000000"/>
  </w:font>
  <w:font w:name="华文仿宋">
    <w:panose1 w:val="02010600040101010101"/>
    <w:charset w:val="86"/>
    <w:family w:val="auto"/>
    <w:pitch w:val="default"/>
    <w:sig w:usb0="00000287" w:usb1="080F0000" w:usb2="00000000" w:usb3="00000000" w:csb0="0004009F" w:csb1="DFD70000"/>
  </w:font>
  <w:font w:name="华文楷体">
    <w:panose1 w:val="02010600040101010101"/>
    <w:charset w:val="86"/>
    <w:family w:val="auto"/>
    <w:pitch w:val="default"/>
    <w:sig w:usb0="00000287" w:usb1="080F0000" w:usb2="00000000" w:usb3="00000000" w:csb0="0004009F" w:csb1="DFD70000"/>
  </w:font>
  <w:font w:name="Tms Rmn">
    <w:altName w:val="Segoe Print"/>
    <w:panose1 w:val="02020603040505020304"/>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方正仿宋_GBK">
    <w:altName w:val="宋体"/>
    <w:panose1 w:val="03000509000000000000"/>
    <w:charset w:val="86"/>
    <w:family w:val="script"/>
    <w:pitch w:val="default"/>
    <w:sig w:usb0="00000000" w:usb1="00000000" w:usb2="00000010" w:usb3="00000000" w:csb0="003C0041" w:csb1="00000000"/>
  </w:font>
  <w:font w:name="_x000B__x000C_">
    <w:altName w:val="Times New Roman"/>
    <w:panose1 w:val="00000000000000000000"/>
    <w:charset w:val="00"/>
    <w:family w:val="roma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方正宋三简体">
    <w:altName w:val="宋体"/>
    <w:panose1 w:val="00000000000000000000"/>
    <w:charset w:val="86"/>
    <w:family w:val="script"/>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ind w:right="360"/>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ind w:right="360"/>
      <w:rPr>
        <w:rFonts w:hint="eastAsia"/>
      </w:rPr>
    </w:pPr>
    <w:r>
      <w:rPr>
        <w:sz w:val="18"/>
      </w:rPr>
      <mc:AlternateContent>
        <mc:Choice Requires="wps">
          <w:drawing>
            <wp:anchor distT="0" distB="0" distL="114300" distR="114300" simplePos="0" relativeHeight="251658240" behindDoc="0" locked="0" layoutInCell="1" allowOverlap="1">
              <wp:simplePos x="0" y="0"/>
              <wp:positionH relativeFrom="margin">
                <wp:posOffset>2898775</wp:posOffset>
              </wp:positionH>
              <wp:positionV relativeFrom="paragraph">
                <wp:posOffset>-233045</wp:posOffset>
              </wp:positionV>
              <wp:extent cx="254000" cy="296545"/>
              <wp:effectExtent l="0" t="0" r="0" b="0"/>
              <wp:wrapNone/>
              <wp:docPr id="5" name="文本框 5"/>
              <wp:cNvGraphicFramePr/>
              <a:graphic xmlns:a="http://schemas.openxmlformats.org/drawingml/2006/main">
                <a:graphicData uri="http://schemas.microsoft.com/office/word/2010/wordprocessingShape">
                  <wps:wsp>
                    <wps:cNvSpPr txBox="1"/>
                    <wps:spPr>
                      <a:xfrm>
                        <a:off x="0" y="0"/>
                        <a:ext cx="254000" cy="29654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9"/>
                            <w:rPr>
                              <w:rFonts w:hint="eastAsia" w:eastAsia="宋体"/>
                              <w:sz w:val="21"/>
                              <w:szCs w:val="21"/>
                              <w:lang w:eastAsia="zh-CN"/>
                            </w:rPr>
                          </w:pPr>
                          <w:r>
                            <w:rPr>
                              <w:rFonts w:hint="eastAsia"/>
                              <w:sz w:val="21"/>
                              <w:szCs w:val="21"/>
                              <w:lang w:eastAsia="zh-CN"/>
                            </w:rPr>
                            <w:fldChar w:fldCharType="begin"/>
                          </w:r>
                          <w:r>
                            <w:rPr>
                              <w:rFonts w:hint="eastAsia"/>
                              <w:sz w:val="21"/>
                              <w:szCs w:val="21"/>
                              <w:lang w:eastAsia="zh-CN"/>
                            </w:rPr>
                            <w:instrText xml:space="preserve"> PAGE  \* MERGEFORMAT </w:instrText>
                          </w:r>
                          <w:r>
                            <w:rPr>
                              <w:rFonts w:hint="eastAsia"/>
                              <w:sz w:val="21"/>
                              <w:szCs w:val="21"/>
                              <w:lang w:eastAsia="zh-CN"/>
                            </w:rPr>
                            <w:fldChar w:fldCharType="separate"/>
                          </w:r>
                          <w:r>
                            <w:rPr>
                              <w:rFonts w:hint="eastAsia"/>
                              <w:sz w:val="21"/>
                              <w:szCs w:val="21"/>
                              <w:lang w:eastAsia="zh-CN"/>
                            </w:rPr>
                            <w:t>1</w:t>
                          </w:r>
                          <w:r>
                            <w:rPr>
                              <w:rFonts w:hint="eastAsia"/>
                              <w:sz w:val="21"/>
                              <w:szCs w:val="21"/>
                              <w:lang w:eastAsia="zh-CN"/>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28.25pt;margin-top:-18.35pt;height:23.35pt;width:20pt;mso-position-horizontal-relative:margin;z-index:251658240;mso-width-relative:page;mso-height-relative:page;" filled="f" stroked="f" coordsize="21600,21600" o:gfxdata="UEsDBAoAAAAAAIdO4kAAAAAAAAAAAAAAAAAEAAAAZHJzL1BLAwQUAAAACACHTuJAkCsX99gAAAAK&#10;AQAADwAAAGRycy9kb3ducmV2LnhtbE2Py07DMBBF90j8gzVI7Fo70IYS4nTBYwcFWpBg58RDEmGP&#10;I9tJy9/jrmA5M0d3zi3XB2vYhD70jiRkcwEMqXG6p1bC2+5htgIWoiKtjCOU8IMB1tXpSakK7fb0&#10;itM2tiyFUCiUhC7GoeA8NB1aFeZuQEq3L+etimn0Ldde7VO4NfxCiJxb1VP60KkBbztsvrejlWA+&#10;gn+sRfyc7tqn+PLMx/f7bCPl+VkmboBFPMQ/GI76SR2q5FS7kXRgRsJimS8TKmF2mV8BS8Ti+rip&#10;EyoE8Krk/ytUv1BLAwQUAAAACACHTuJAuAc1FRkCAAATBAAADgAAAGRycy9lMm9Eb2MueG1srVPN&#10;jtMwEL4j8Q6W7zRp2VZQNV2VXRUhrdiVCuLsOnZjyfYY221SHgDegBMX7jxXn4Ox03QRcEJcnMn8&#10;zzffLK47o8lB+KDAVnQ8KikRlkOt7K6i79+tn72gJERma6bBiooeRaDXy6dPFq2biwk0oGvhCSax&#10;Yd66ijYxunlRBN4Iw8IInLBolOANi/jrd0XtWYvZjS4mZTkrWvC188BFCKi97Y10mfNLKXi8lzKI&#10;SHRFsbeYX5/fbXqL5YLNd565RvFzG+wfujBMWSx6SXXLIiN7r/5IZRT3EEDGEQdTgJSKizwDTjMu&#10;f5tm0zAn8iwITnAXmML/S8vfHh48UXVFp5RYZnBFp69fTt9+nL5/JtMET+vCHL02Dv1i9wo6XPOg&#10;D6hMU3fSm/TFeQjaEejjBVzRRcJROZlelSVaOJomL2fTq5y9eAx2PsTXAgxJQkU97i5Dyg53IWIj&#10;6Dq4pFoW1krrvD9tSVvR2fNpmQMuFozQFgPTCH2rSYrdtjvPtYX6iGN56HkRHF8rLH7HQnxgHomA&#10;/SK54z0+UgMWgbNESQP+09/0yR/3g1ZKWiRWRcPHPfOCEv3G4uYSCwfBD8J2EOze3ABydYxn43gW&#10;McBHPYjSg/mAnF+lKmhilmOtisZBvIk9vfFmuFitstPeebVr+gDknWPxzm4cT2V6KFf7CFJllBNE&#10;PS5n5JB5GfzzlSRq//qfvR5vefkT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kCsX99gAAAAKAQAA&#10;DwAAAAAAAAABACAAAAAiAAAAZHJzL2Rvd25yZXYueG1sUEsBAhQAFAAAAAgAh07iQLgHNRUZAgAA&#10;EwQAAA4AAAAAAAAAAQAgAAAAJwEAAGRycy9lMm9Eb2MueG1sUEsFBgAAAAAGAAYAWQEAALIFAAAA&#10;AA==&#10;">
              <v:fill on="f" focussize="0,0"/>
              <v:stroke on="f" weight="0.5pt"/>
              <v:imagedata o:title=""/>
              <o:lock v:ext="edit" aspectratio="f"/>
              <v:textbox inset="0mm,0mm,0mm,0mm">
                <w:txbxContent>
                  <w:p>
                    <w:pPr>
                      <w:pStyle w:val="29"/>
                      <w:rPr>
                        <w:rFonts w:hint="eastAsia" w:eastAsia="宋体"/>
                        <w:sz w:val="21"/>
                        <w:szCs w:val="21"/>
                        <w:lang w:eastAsia="zh-CN"/>
                      </w:rPr>
                    </w:pPr>
                    <w:r>
                      <w:rPr>
                        <w:rFonts w:hint="eastAsia"/>
                        <w:sz w:val="21"/>
                        <w:szCs w:val="21"/>
                        <w:lang w:eastAsia="zh-CN"/>
                      </w:rPr>
                      <w:fldChar w:fldCharType="begin"/>
                    </w:r>
                    <w:r>
                      <w:rPr>
                        <w:rFonts w:hint="eastAsia"/>
                        <w:sz w:val="21"/>
                        <w:szCs w:val="21"/>
                        <w:lang w:eastAsia="zh-CN"/>
                      </w:rPr>
                      <w:instrText xml:space="preserve"> PAGE  \* MERGEFORMAT </w:instrText>
                    </w:r>
                    <w:r>
                      <w:rPr>
                        <w:rFonts w:hint="eastAsia"/>
                        <w:sz w:val="21"/>
                        <w:szCs w:val="21"/>
                        <w:lang w:eastAsia="zh-CN"/>
                      </w:rPr>
                      <w:fldChar w:fldCharType="separate"/>
                    </w:r>
                    <w:r>
                      <w:rPr>
                        <w:rFonts w:hint="eastAsia"/>
                        <w:sz w:val="21"/>
                        <w:szCs w:val="21"/>
                        <w:lang w:eastAsia="zh-CN"/>
                      </w:rPr>
                      <w:t>1</w:t>
                    </w:r>
                    <w:r>
                      <w:rPr>
                        <w:rFonts w:hint="eastAsia"/>
                        <w:sz w:val="21"/>
                        <w:szCs w:val="21"/>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ind w:right="360"/>
      <w:rPr>
        <w:rFonts w:hint="eastAsia"/>
      </w:rPr>
    </w:pPr>
    <w:r>
      <w:rPr>
        <w:sz w:val="18"/>
      </w:rPr>
      <mc:AlternateContent>
        <mc:Choice Requires="wps">
          <w:drawing>
            <wp:anchor distT="0" distB="0" distL="114300" distR="114300" simplePos="0" relativeHeight="251659264" behindDoc="0" locked="0" layoutInCell="1" allowOverlap="1">
              <wp:simplePos x="0" y="0"/>
              <wp:positionH relativeFrom="margin">
                <wp:posOffset>2898775</wp:posOffset>
              </wp:positionH>
              <wp:positionV relativeFrom="paragraph">
                <wp:posOffset>-233045</wp:posOffset>
              </wp:positionV>
              <wp:extent cx="254000" cy="296545"/>
              <wp:effectExtent l="0" t="0" r="0" b="0"/>
              <wp:wrapNone/>
              <wp:docPr id="1" name="文本框 1"/>
              <wp:cNvGraphicFramePr/>
              <a:graphic xmlns:a="http://schemas.openxmlformats.org/drawingml/2006/main">
                <a:graphicData uri="http://schemas.microsoft.com/office/word/2010/wordprocessingShape">
                  <wps:wsp>
                    <wps:cNvSpPr txBox="1"/>
                    <wps:spPr>
                      <a:xfrm>
                        <a:off x="0" y="0"/>
                        <a:ext cx="254000" cy="29654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9"/>
                            <w:rPr>
                              <w:rFonts w:hint="eastAsia" w:eastAsia="宋体"/>
                              <w:sz w:val="21"/>
                              <w:szCs w:val="21"/>
                              <w:lang w:eastAsia="zh-CN"/>
                            </w:rPr>
                          </w:pPr>
                          <w:r>
                            <w:rPr>
                              <w:rFonts w:hint="eastAsia"/>
                              <w:sz w:val="21"/>
                              <w:szCs w:val="21"/>
                              <w:lang w:eastAsia="zh-CN"/>
                            </w:rPr>
                            <w:fldChar w:fldCharType="begin"/>
                          </w:r>
                          <w:r>
                            <w:rPr>
                              <w:rFonts w:hint="eastAsia"/>
                              <w:sz w:val="21"/>
                              <w:szCs w:val="21"/>
                              <w:lang w:eastAsia="zh-CN"/>
                            </w:rPr>
                            <w:instrText xml:space="preserve"> PAGE  \* MERGEFORMAT </w:instrText>
                          </w:r>
                          <w:r>
                            <w:rPr>
                              <w:rFonts w:hint="eastAsia"/>
                              <w:sz w:val="21"/>
                              <w:szCs w:val="21"/>
                              <w:lang w:eastAsia="zh-CN"/>
                            </w:rPr>
                            <w:fldChar w:fldCharType="separate"/>
                          </w:r>
                          <w:r>
                            <w:rPr>
                              <w:rFonts w:hint="eastAsia"/>
                              <w:sz w:val="21"/>
                              <w:szCs w:val="21"/>
                              <w:lang w:eastAsia="zh-CN"/>
                            </w:rPr>
                            <w:t>1</w:t>
                          </w:r>
                          <w:r>
                            <w:rPr>
                              <w:rFonts w:hint="eastAsia"/>
                              <w:sz w:val="21"/>
                              <w:szCs w:val="21"/>
                              <w:lang w:eastAsia="zh-CN"/>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28.25pt;margin-top:-18.35pt;height:23.35pt;width:20pt;mso-position-horizontal-relative:margin;z-index:251659264;mso-width-relative:page;mso-height-relative:page;" filled="f" stroked="f" coordsize="21600,21600" o:gfxdata="UEsDBAoAAAAAAIdO4kAAAAAAAAAAAAAAAAAEAAAAZHJzL1BLAwQUAAAACACHTuJAkCsX99gAAAAK&#10;AQAADwAAAGRycy9kb3ducmV2LnhtbE2Py07DMBBF90j8gzVI7Fo70IYS4nTBYwcFWpBg58RDEmGP&#10;I9tJy9/jrmA5M0d3zi3XB2vYhD70jiRkcwEMqXG6p1bC2+5htgIWoiKtjCOU8IMB1tXpSakK7fb0&#10;itM2tiyFUCiUhC7GoeA8NB1aFeZuQEq3L+etimn0Ldde7VO4NfxCiJxb1VP60KkBbztsvrejlWA+&#10;gn+sRfyc7tqn+PLMx/f7bCPl+VkmboBFPMQ/GI76SR2q5FS7kXRgRsJimS8TKmF2mV8BS8Ti+rip&#10;EyoE8Krk/ytUv1BLAwQUAAAACACHTuJArAxh/xoCAAATBAAADgAAAGRycy9lMm9Eb2MueG1srVPN&#10;jtMwEL4j8Q6W7zRp2VYQNV2VXRUhrdiVCuLsOnZjKfYY221SHgDegBMX7jxXn4Oxk3QRcEJcnC8z&#10;4/n55vPyutMNOQrnFZiSTic5JcJwqJTZl/T9u82zF5T4wEzFGjCipCfh6fXq6ZNlawsxgxqaSjiC&#10;SYwvWlvSOgRbZJnntdDMT8AKg04JTrOAv26fVY61mF032SzPF1kLrrIOuPAerbe9k65SfikFD/dS&#10;ehFIU1LsLaTTpXMXz2y1ZMXeMVsrPrTB/qELzZTBopdUtywwcnDqj1RacQceZJhw0BlIqbhIM+A0&#10;0/y3abY1syLNguR4e6HJ/7+0/O3xwRFV4e4oMUzjis5fv5y//Th//0ymkZ7W+gKjthbjQvcKuhg6&#10;2D0a49SddDp+cR6CfiT6dCFXdIFwNM7mV3mOHo6u2cvF/Goes2SPl63z4bUATSIoqcPdJUrZ8c6H&#10;PnQMibUMbFTToJ0VjSFtSRfP53m6cPFg8sZgjThC32pEodt1Q/87qE44loNeF97yjcLid8yHB+ZQ&#10;CNgvijvc4yEbwCIwIEpqcJ/+Zo/xuB/0UtKisErqPx6YE5Q0bwxuLqpwBG4EuxGYg74B1CpuA7tJ&#10;EC+40IxQOtAfUPPrWAVdzHCsVdIwwpvQyxvfDBfrdQo6WKf2dX8BdWdZuDNby2OZnsr1IYBUieVI&#10;Uc/LwBwqL+1peCVR2r/+p6jHt7z6C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JArF/fYAAAACgEA&#10;AA8AAAAAAAAAAQAgAAAAIgAAAGRycy9kb3ducmV2LnhtbFBLAQIUABQAAAAIAIdO4kCsDGH/GgIA&#10;ABMEAAAOAAAAAAAAAAEAIAAAACcBAABkcnMvZTJvRG9jLnhtbFBLBQYAAAAABgAGAFkBAACzBQAA&#10;AAA=&#10;">
              <v:fill on="f" focussize="0,0"/>
              <v:stroke on="f" weight="0.5pt"/>
              <v:imagedata o:title=""/>
              <o:lock v:ext="edit" aspectratio="f"/>
              <v:textbox inset="0mm,0mm,0mm,0mm">
                <w:txbxContent>
                  <w:p>
                    <w:pPr>
                      <w:pStyle w:val="29"/>
                      <w:rPr>
                        <w:rFonts w:hint="eastAsia" w:eastAsia="宋体"/>
                        <w:sz w:val="21"/>
                        <w:szCs w:val="21"/>
                        <w:lang w:eastAsia="zh-CN"/>
                      </w:rPr>
                    </w:pPr>
                    <w:r>
                      <w:rPr>
                        <w:rFonts w:hint="eastAsia"/>
                        <w:sz w:val="21"/>
                        <w:szCs w:val="21"/>
                        <w:lang w:eastAsia="zh-CN"/>
                      </w:rPr>
                      <w:fldChar w:fldCharType="begin"/>
                    </w:r>
                    <w:r>
                      <w:rPr>
                        <w:rFonts w:hint="eastAsia"/>
                        <w:sz w:val="21"/>
                        <w:szCs w:val="21"/>
                        <w:lang w:eastAsia="zh-CN"/>
                      </w:rPr>
                      <w:instrText xml:space="preserve"> PAGE  \* MERGEFORMAT </w:instrText>
                    </w:r>
                    <w:r>
                      <w:rPr>
                        <w:rFonts w:hint="eastAsia"/>
                        <w:sz w:val="21"/>
                        <w:szCs w:val="21"/>
                        <w:lang w:eastAsia="zh-CN"/>
                      </w:rPr>
                      <w:fldChar w:fldCharType="separate"/>
                    </w:r>
                    <w:r>
                      <w:rPr>
                        <w:rFonts w:hint="eastAsia"/>
                        <w:sz w:val="21"/>
                        <w:szCs w:val="21"/>
                        <w:lang w:eastAsia="zh-CN"/>
                      </w:rPr>
                      <w:t>1</w:t>
                    </w:r>
                    <w:r>
                      <w:rPr>
                        <w:rFonts w:hint="eastAsia"/>
                        <w:sz w:val="21"/>
                        <w:szCs w:val="21"/>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ind w:right="360"/>
      <w:rPr>
        <w:rFonts w:hint="eastAsia"/>
      </w:rPr>
    </w:pPr>
    <w:r>
      <w:rPr>
        <w:sz w:val="18"/>
      </w:rPr>
      <mc:AlternateContent>
        <mc:Choice Requires="wps">
          <w:drawing>
            <wp:anchor distT="0" distB="0" distL="114300" distR="114300" simplePos="0" relativeHeight="251661312" behindDoc="0" locked="0" layoutInCell="1" allowOverlap="1">
              <wp:simplePos x="0" y="0"/>
              <wp:positionH relativeFrom="margin">
                <wp:posOffset>2898775</wp:posOffset>
              </wp:positionH>
              <wp:positionV relativeFrom="paragraph">
                <wp:posOffset>-233045</wp:posOffset>
              </wp:positionV>
              <wp:extent cx="254000" cy="296545"/>
              <wp:effectExtent l="0" t="0" r="0" b="0"/>
              <wp:wrapNone/>
              <wp:docPr id="2" name="文本框 2"/>
              <wp:cNvGraphicFramePr/>
              <a:graphic xmlns:a="http://schemas.openxmlformats.org/drawingml/2006/main">
                <a:graphicData uri="http://schemas.microsoft.com/office/word/2010/wordprocessingShape">
                  <wps:wsp>
                    <wps:cNvSpPr txBox="1"/>
                    <wps:spPr>
                      <a:xfrm>
                        <a:off x="0" y="0"/>
                        <a:ext cx="254000" cy="29654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9"/>
                            <w:rPr>
                              <w:rFonts w:hint="eastAsia" w:eastAsia="宋体"/>
                              <w:sz w:val="21"/>
                              <w:szCs w:val="21"/>
                              <w:lang w:eastAsia="zh-CN"/>
                            </w:rPr>
                          </w:pPr>
                          <w:r>
                            <w:rPr>
                              <w:rFonts w:hint="eastAsia"/>
                              <w:sz w:val="21"/>
                              <w:szCs w:val="21"/>
                              <w:lang w:eastAsia="zh-CN"/>
                            </w:rPr>
                            <w:fldChar w:fldCharType="begin"/>
                          </w:r>
                          <w:r>
                            <w:rPr>
                              <w:rFonts w:hint="eastAsia"/>
                              <w:sz w:val="21"/>
                              <w:szCs w:val="21"/>
                              <w:lang w:eastAsia="zh-CN"/>
                            </w:rPr>
                            <w:instrText xml:space="preserve"> PAGE  \* MERGEFORMAT </w:instrText>
                          </w:r>
                          <w:r>
                            <w:rPr>
                              <w:rFonts w:hint="eastAsia"/>
                              <w:sz w:val="21"/>
                              <w:szCs w:val="21"/>
                              <w:lang w:eastAsia="zh-CN"/>
                            </w:rPr>
                            <w:fldChar w:fldCharType="separate"/>
                          </w:r>
                          <w:r>
                            <w:rPr>
                              <w:rFonts w:hint="eastAsia"/>
                              <w:sz w:val="21"/>
                              <w:szCs w:val="21"/>
                              <w:lang w:eastAsia="zh-CN"/>
                            </w:rPr>
                            <w:t>1</w:t>
                          </w:r>
                          <w:r>
                            <w:rPr>
                              <w:rFonts w:hint="eastAsia"/>
                              <w:sz w:val="21"/>
                              <w:szCs w:val="21"/>
                              <w:lang w:eastAsia="zh-CN"/>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28.25pt;margin-top:-18.35pt;height:23.35pt;width:20pt;mso-position-horizontal-relative:margin;z-index:251661312;mso-width-relative:page;mso-height-relative:page;" filled="f" stroked="f" coordsize="21600,21600" o:gfxdata="UEsDBAoAAAAAAIdO4kAAAAAAAAAAAAAAAAAEAAAAZHJzL1BLAwQUAAAACACHTuJAkCsX99gAAAAK&#10;AQAADwAAAGRycy9kb3ducmV2LnhtbE2Py07DMBBF90j8gzVI7Fo70IYS4nTBYwcFWpBg58RDEmGP&#10;I9tJy9/jrmA5M0d3zi3XB2vYhD70jiRkcwEMqXG6p1bC2+5htgIWoiKtjCOU8IMB1tXpSakK7fb0&#10;itM2tiyFUCiUhC7GoeA8NB1aFeZuQEq3L+etimn0Ldde7VO4NfxCiJxb1VP60KkBbztsvrejlWA+&#10;gn+sRfyc7tqn+PLMx/f7bCPl+VkmboBFPMQ/GI76SR2q5FS7kXRgRsJimS8TKmF2mV8BS8Ti+rip&#10;EyoE8Krk/ytUv1BLAwQUAAAACACHTuJA4wvesBoCAAATBAAADgAAAGRycy9lMm9Eb2MueG1srVPB&#10;jtMwEL0j8Q+W7zRp2VZQNV2VXRUhrdiVCuLsOnZjyfYY221SPgD+gBMX7nxXv4Ox03QRcEJcnMnM&#10;eGbem+fFdWc0OQgfFNiKjkclJcJyqJXdVfT9u/WzF5SEyGzNNFhR0aMI9Hr59MmidXMxgQZ0LTzB&#10;IjbMW1fRJkY3L4rAG2FYGIETFoMSvGERf/2uqD1rsbrRxaQsZ0ULvnYeuAgBvbd9kC5zfSkFj/dS&#10;BhGJrijOFvPp87lNZ7FcsPnOM9cofh6D/cMUhimLTS+lbllkZO/VH6WM4h4CyDjiYAqQUnGRMSCa&#10;cfkbmk3DnMhYkJzgLjSF/1eWvz08eKLqik4osczgik5fv5y+/Th9/0wmiZ7WhTlmbRzmxe4VdLjm&#10;wR/QmVB30pv0RTwE40j08UKu6CLh6JxMr8oSIxxDk5ez6dU0VSkeLzsf4msBhiSjoh53lyllh7sQ&#10;+9QhJfWysFZa5/1pS9qKzp5Py3zhEsHi2mKPBKEfNVmx23ZnXFuojwjLQ6+L4PhaYfM7FuID8ygE&#10;nBfFHe/xkBqwCZwtShrwn/7mT/m4H4xS0qKwKho+7pkXlOg3FjeXVDgYfjC2g2H35gZQq2N8No5n&#10;Ey/4qAdTejAfUPOr1AVDzHLsVdE4mDexlze+GS5Wq5y0d17tmv4C6s6xeGc3jqc2PZWrfQSpMsuJ&#10;op6XM3OovLyn8ytJ0v71P2c9vuXlT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JArF/fYAAAACgEA&#10;AA8AAAAAAAAAAQAgAAAAIgAAAGRycy9kb3ducmV2LnhtbFBLAQIUABQAAAAIAIdO4kDjC96wGgIA&#10;ABMEAAAOAAAAAAAAAAEAIAAAACcBAABkcnMvZTJvRG9jLnhtbFBLBQYAAAAABgAGAFkBAACzBQAA&#10;AAA=&#10;">
              <v:fill on="f" focussize="0,0"/>
              <v:stroke on="f" weight="0.5pt"/>
              <v:imagedata o:title=""/>
              <o:lock v:ext="edit" aspectratio="f"/>
              <v:textbox inset="0mm,0mm,0mm,0mm">
                <w:txbxContent>
                  <w:p>
                    <w:pPr>
                      <w:pStyle w:val="29"/>
                      <w:rPr>
                        <w:rFonts w:hint="eastAsia" w:eastAsia="宋体"/>
                        <w:sz w:val="21"/>
                        <w:szCs w:val="21"/>
                        <w:lang w:eastAsia="zh-CN"/>
                      </w:rPr>
                    </w:pPr>
                    <w:r>
                      <w:rPr>
                        <w:rFonts w:hint="eastAsia"/>
                        <w:sz w:val="21"/>
                        <w:szCs w:val="21"/>
                        <w:lang w:eastAsia="zh-CN"/>
                      </w:rPr>
                      <w:fldChar w:fldCharType="begin"/>
                    </w:r>
                    <w:r>
                      <w:rPr>
                        <w:rFonts w:hint="eastAsia"/>
                        <w:sz w:val="21"/>
                        <w:szCs w:val="21"/>
                        <w:lang w:eastAsia="zh-CN"/>
                      </w:rPr>
                      <w:instrText xml:space="preserve"> PAGE  \* MERGEFORMAT </w:instrText>
                    </w:r>
                    <w:r>
                      <w:rPr>
                        <w:rFonts w:hint="eastAsia"/>
                        <w:sz w:val="21"/>
                        <w:szCs w:val="21"/>
                        <w:lang w:eastAsia="zh-CN"/>
                      </w:rPr>
                      <w:fldChar w:fldCharType="separate"/>
                    </w:r>
                    <w:r>
                      <w:rPr>
                        <w:rFonts w:hint="eastAsia"/>
                        <w:sz w:val="21"/>
                        <w:szCs w:val="21"/>
                        <w:lang w:eastAsia="zh-CN"/>
                      </w:rPr>
                      <w:t>1</w:t>
                    </w:r>
                    <w:r>
                      <w:rPr>
                        <w:rFonts w:hint="eastAsia"/>
                        <w:sz w:val="21"/>
                        <w:szCs w:val="21"/>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2E61E9C"/>
    <w:multiLevelType w:val="singleLevel"/>
    <w:tmpl w:val="82E61E9C"/>
    <w:lvl w:ilvl="0" w:tentative="0">
      <w:start w:val="1"/>
      <w:numFmt w:val="decimal"/>
      <w:suff w:val="nothing"/>
      <w:lvlText w:val="（%1）"/>
      <w:lvlJc w:val="left"/>
    </w:lvl>
  </w:abstractNum>
  <w:abstractNum w:abstractNumId="1">
    <w:nsid w:val="9E464787"/>
    <w:multiLevelType w:val="singleLevel"/>
    <w:tmpl w:val="9E464787"/>
    <w:lvl w:ilvl="0" w:tentative="0">
      <w:start w:val="1"/>
      <w:numFmt w:val="decimal"/>
      <w:suff w:val="nothing"/>
      <w:lvlText w:val="%1、"/>
      <w:lvlJc w:val="left"/>
    </w:lvl>
  </w:abstractNum>
  <w:abstractNum w:abstractNumId="2">
    <w:nsid w:val="0789F95F"/>
    <w:multiLevelType w:val="singleLevel"/>
    <w:tmpl w:val="0789F95F"/>
    <w:lvl w:ilvl="0" w:tentative="0">
      <w:start w:val="1"/>
      <w:numFmt w:val="decimal"/>
      <w:suff w:val="nothing"/>
      <w:lvlText w:val="（%1）"/>
      <w:lvlJc w:val="left"/>
    </w:lvl>
  </w:abstractNum>
  <w:abstractNum w:abstractNumId="3">
    <w:nsid w:val="2A3EA336"/>
    <w:multiLevelType w:val="singleLevel"/>
    <w:tmpl w:val="2A3EA336"/>
    <w:lvl w:ilvl="0" w:tentative="0">
      <w:start w:val="5"/>
      <w:numFmt w:val="decimal"/>
      <w:suff w:val="nothing"/>
      <w:lvlText w:val="（%1）"/>
      <w:lvlJc w:val="left"/>
    </w:lvl>
  </w:abstractNum>
  <w:abstractNum w:abstractNumId="4">
    <w:nsid w:val="355F3D94"/>
    <w:multiLevelType w:val="multilevel"/>
    <w:tmpl w:val="355F3D94"/>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3B53FDC2"/>
    <w:multiLevelType w:val="singleLevel"/>
    <w:tmpl w:val="3B53FDC2"/>
    <w:lvl w:ilvl="0" w:tentative="0">
      <w:start w:val="7"/>
      <w:numFmt w:val="decimal"/>
      <w:suff w:val="nothing"/>
      <w:lvlText w:val="%1、"/>
      <w:lvlJc w:val="left"/>
    </w:lvl>
  </w:abstractNum>
  <w:abstractNum w:abstractNumId="6">
    <w:nsid w:val="3BCC6760"/>
    <w:multiLevelType w:val="singleLevel"/>
    <w:tmpl w:val="3BCC6760"/>
    <w:lvl w:ilvl="0" w:tentative="0">
      <w:start w:val="5"/>
      <w:numFmt w:val="decimal"/>
      <w:suff w:val="nothing"/>
      <w:lvlText w:val="%1、"/>
      <w:lvlJc w:val="left"/>
    </w:lvl>
  </w:abstractNum>
  <w:abstractNum w:abstractNumId="7">
    <w:nsid w:val="6147523A"/>
    <w:multiLevelType w:val="singleLevel"/>
    <w:tmpl w:val="6147523A"/>
    <w:lvl w:ilvl="0" w:tentative="0">
      <w:start w:val="2"/>
      <w:numFmt w:val="decimal"/>
      <w:suff w:val="nothing"/>
      <w:lvlText w:val="%1、"/>
      <w:lvlJc w:val="left"/>
    </w:lvl>
  </w:abstractNum>
  <w:abstractNum w:abstractNumId="8">
    <w:nsid w:val="63AECB22"/>
    <w:multiLevelType w:val="singleLevel"/>
    <w:tmpl w:val="63AECB22"/>
    <w:lvl w:ilvl="0" w:tentative="0">
      <w:start w:val="1"/>
      <w:numFmt w:val="decimal"/>
      <w:suff w:val="nothing"/>
      <w:lvlText w:val="（%1）"/>
      <w:lvlJc w:val="left"/>
    </w:lvl>
  </w:abstractNum>
  <w:num w:numId="1">
    <w:abstractNumId w:val="7"/>
  </w:num>
  <w:num w:numId="2">
    <w:abstractNumId w:val="6"/>
  </w:num>
  <w:num w:numId="3">
    <w:abstractNumId w:val="2"/>
  </w:num>
  <w:num w:numId="4">
    <w:abstractNumId w:val="1"/>
  </w:num>
  <w:num w:numId="5">
    <w:abstractNumId w:val="8"/>
  </w:num>
  <w:num w:numId="6">
    <w:abstractNumId w:val="5"/>
  </w:num>
  <w:num w:numId="7">
    <w:abstractNumId w:val="0"/>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4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61"/>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073"/>
    <w:rsid w:val="000005C5"/>
    <w:rsid w:val="00000820"/>
    <w:rsid w:val="000009AB"/>
    <w:rsid w:val="00000A9E"/>
    <w:rsid w:val="00001025"/>
    <w:rsid w:val="00001D96"/>
    <w:rsid w:val="0000283F"/>
    <w:rsid w:val="00002A66"/>
    <w:rsid w:val="00002F12"/>
    <w:rsid w:val="000037BE"/>
    <w:rsid w:val="00003C46"/>
    <w:rsid w:val="0000422E"/>
    <w:rsid w:val="00004900"/>
    <w:rsid w:val="000052CC"/>
    <w:rsid w:val="000059FB"/>
    <w:rsid w:val="0000626C"/>
    <w:rsid w:val="000071CC"/>
    <w:rsid w:val="00007462"/>
    <w:rsid w:val="0000773D"/>
    <w:rsid w:val="00007AC4"/>
    <w:rsid w:val="00007F9F"/>
    <w:rsid w:val="0001052A"/>
    <w:rsid w:val="00010872"/>
    <w:rsid w:val="000108DE"/>
    <w:rsid w:val="00010AA8"/>
    <w:rsid w:val="00010F33"/>
    <w:rsid w:val="0001111C"/>
    <w:rsid w:val="00011132"/>
    <w:rsid w:val="000115A4"/>
    <w:rsid w:val="000116E4"/>
    <w:rsid w:val="0001175D"/>
    <w:rsid w:val="0001178E"/>
    <w:rsid w:val="00011AA5"/>
    <w:rsid w:val="0001205D"/>
    <w:rsid w:val="00012578"/>
    <w:rsid w:val="00012793"/>
    <w:rsid w:val="000128B5"/>
    <w:rsid w:val="00012D0E"/>
    <w:rsid w:val="00013886"/>
    <w:rsid w:val="000141C2"/>
    <w:rsid w:val="000146DD"/>
    <w:rsid w:val="00014A22"/>
    <w:rsid w:val="00014AA6"/>
    <w:rsid w:val="00014BDE"/>
    <w:rsid w:val="00014CE0"/>
    <w:rsid w:val="00014FAE"/>
    <w:rsid w:val="00015094"/>
    <w:rsid w:val="00015491"/>
    <w:rsid w:val="00015610"/>
    <w:rsid w:val="00015AB2"/>
    <w:rsid w:val="00015E0F"/>
    <w:rsid w:val="00015FD9"/>
    <w:rsid w:val="00016798"/>
    <w:rsid w:val="00016D1D"/>
    <w:rsid w:val="00016D3C"/>
    <w:rsid w:val="00016DF5"/>
    <w:rsid w:val="00017245"/>
    <w:rsid w:val="000202AC"/>
    <w:rsid w:val="0002095B"/>
    <w:rsid w:val="00021621"/>
    <w:rsid w:val="000218C5"/>
    <w:rsid w:val="00021C1C"/>
    <w:rsid w:val="00021CB6"/>
    <w:rsid w:val="00021F0A"/>
    <w:rsid w:val="0002231A"/>
    <w:rsid w:val="00022363"/>
    <w:rsid w:val="000225E9"/>
    <w:rsid w:val="00023A86"/>
    <w:rsid w:val="0002413D"/>
    <w:rsid w:val="0002438D"/>
    <w:rsid w:val="00025E09"/>
    <w:rsid w:val="00025ED8"/>
    <w:rsid w:val="00026A34"/>
    <w:rsid w:val="00026F52"/>
    <w:rsid w:val="00026FF2"/>
    <w:rsid w:val="00027000"/>
    <w:rsid w:val="00027256"/>
    <w:rsid w:val="00027581"/>
    <w:rsid w:val="00027C18"/>
    <w:rsid w:val="0003003B"/>
    <w:rsid w:val="000308E3"/>
    <w:rsid w:val="0003149A"/>
    <w:rsid w:val="0003164A"/>
    <w:rsid w:val="00031E41"/>
    <w:rsid w:val="00032B46"/>
    <w:rsid w:val="00032E8E"/>
    <w:rsid w:val="000330AD"/>
    <w:rsid w:val="000333CF"/>
    <w:rsid w:val="0003341E"/>
    <w:rsid w:val="0003347F"/>
    <w:rsid w:val="000346C2"/>
    <w:rsid w:val="00034A62"/>
    <w:rsid w:val="0003535C"/>
    <w:rsid w:val="00035749"/>
    <w:rsid w:val="00035950"/>
    <w:rsid w:val="00036175"/>
    <w:rsid w:val="00036208"/>
    <w:rsid w:val="000364EA"/>
    <w:rsid w:val="00036649"/>
    <w:rsid w:val="000368B1"/>
    <w:rsid w:val="00036931"/>
    <w:rsid w:val="00036BDA"/>
    <w:rsid w:val="00036F9D"/>
    <w:rsid w:val="00037855"/>
    <w:rsid w:val="00037BDD"/>
    <w:rsid w:val="0004003C"/>
    <w:rsid w:val="000402B0"/>
    <w:rsid w:val="00040665"/>
    <w:rsid w:val="00040DE5"/>
    <w:rsid w:val="00041153"/>
    <w:rsid w:val="00041463"/>
    <w:rsid w:val="0004237B"/>
    <w:rsid w:val="00042741"/>
    <w:rsid w:val="00042901"/>
    <w:rsid w:val="00042D16"/>
    <w:rsid w:val="00042F63"/>
    <w:rsid w:val="00043759"/>
    <w:rsid w:val="00043F95"/>
    <w:rsid w:val="0004461C"/>
    <w:rsid w:val="0004477D"/>
    <w:rsid w:val="000447A6"/>
    <w:rsid w:val="00045570"/>
    <w:rsid w:val="00045A06"/>
    <w:rsid w:val="00045AB8"/>
    <w:rsid w:val="00046699"/>
    <w:rsid w:val="00046731"/>
    <w:rsid w:val="000467B6"/>
    <w:rsid w:val="00046AEE"/>
    <w:rsid w:val="00046C77"/>
    <w:rsid w:val="000470B1"/>
    <w:rsid w:val="0004796E"/>
    <w:rsid w:val="000502C7"/>
    <w:rsid w:val="000503A9"/>
    <w:rsid w:val="0005092E"/>
    <w:rsid w:val="000511C0"/>
    <w:rsid w:val="000515FE"/>
    <w:rsid w:val="0005199D"/>
    <w:rsid w:val="00051AEA"/>
    <w:rsid w:val="00051EAB"/>
    <w:rsid w:val="0005236B"/>
    <w:rsid w:val="00052996"/>
    <w:rsid w:val="00052A7B"/>
    <w:rsid w:val="00052D70"/>
    <w:rsid w:val="00053243"/>
    <w:rsid w:val="00053539"/>
    <w:rsid w:val="00053AD6"/>
    <w:rsid w:val="00053CE1"/>
    <w:rsid w:val="00053FC1"/>
    <w:rsid w:val="00054556"/>
    <w:rsid w:val="0005467D"/>
    <w:rsid w:val="00055178"/>
    <w:rsid w:val="00056052"/>
    <w:rsid w:val="00056161"/>
    <w:rsid w:val="000564C1"/>
    <w:rsid w:val="00056619"/>
    <w:rsid w:val="00056B94"/>
    <w:rsid w:val="00056D6C"/>
    <w:rsid w:val="00057331"/>
    <w:rsid w:val="00057A9D"/>
    <w:rsid w:val="00057D36"/>
    <w:rsid w:val="00057E4F"/>
    <w:rsid w:val="00060611"/>
    <w:rsid w:val="0006064F"/>
    <w:rsid w:val="00060B64"/>
    <w:rsid w:val="00062467"/>
    <w:rsid w:val="00062F74"/>
    <w:rsid w:val="0006327F"/>
    <w:rsid w:val="00063364"/>
    <w:rsid w:val="00063996"/>
    <w:rsid w:val="00063CAF"/>
    <w:rsid w:val="00063DAF"/>
    <w:rsid w:val="00063F25"/>
    <w:rsid w:val="0006461C"/>
    <w:rsid w:val="00064785"/>
    <w:rsid w:val="00064DF1"/>
    <w:rsid w:val="00064F31"/>
    <w:rsid w:val="0006507F"/>
    <w:rsid w:val="0006525A"/>
    <w:rsid w:val="000658D1"/>
    <w:rsid w:val="00065CC1"/>
    <w:rsid w:val="0006601A"/>
    <w:rsid w:val="00066450"/>
    <w:rsid w:val="0006717B"/>
    <w:rsid w:val="0006792A"/>
    <w:rsid w:val="00070168"/>
    <w:rsid w:val="0007017B"/>
    <w:rsid w:val="0007045F"/>
    <w:rsid w:val="00070880"/>
    <w:rsid w:val="0007106E"/>
    <w:rsid w:val="00071092"/>
    <w:rsid w:val="000711D5"/>
    <w:rsid w:val="00071E6E"/>
    <w:rsid w:val="00072247"/>
    <w:rsid w:val="00072DD4"/>
    <w:rsid w:val="0007348A"/>
    <w:rsid w:val="000737F0"/>
    <w:rsid w:val="00073E42"/>
    <w:rsid w:val="0007425A"/>
    <w:rsid w:val="000744A1"/>
    <w:rsid w:val="000746DA"/>
    <w:rsid w:val="00074C61"/>
    <w:rsid w:val="0007508D"/>
    <w:rsid w:val="0007524C"/>
    <w:rsid w:val="00075C80"/>
    <w:rsid w:val="00075F6A"/>
    <w:rsid w:val="000760AA"/>
    <w:rsid w:val="0007643F"/>
    <w:rsid w:val="000765CA"/>
    <w:rsid w:val="00076B2C"/>
    <w:rsid w:val="00076BCF"/>
    <w:rsid w:val="0007745B"/>
    <w:rsid w:val="00077897"/>
    <w:rsid w:val="00077B10"/>
    <w:rsid w:val="00077E28"/>
    <w:rsid w:val="0008003B"/>
    <w:rsid w:val="00080DBE"/>
    <w:rsid w:val="00081ACF"/>
    <w:rsid w:val="00081B57"/>
    <w:rsid w:val="000827A9"/>
    <w:rsid w:val="00082902"/>
    <w:rsid w:val="00082E1C"/>
    <w:rsid w:val="000830CE"/>
    <w:rsid w:val="00083C79"/>
    <w:rsid w:val="00084311"/>
    <w:rsid w:val="00084CE5"/>
    <w:rsid w:val="00084D09"/>
    <w:rsid w:val="00085859"/>
    <w:rsid w:val="0008610F"/>
    <w:rsid w:val="000862A6"/>
    <w:rsid w:val="0008641C"/>
    <w:rsid w:val="000864A4"/>
    <w:rsid w:val="000866F4"/>
    <w:rsid w:val="00086726"/>
    <w:rsid w:val="00086EE6"/>
    <w:rsid w:val="0008734A"/>
    <w:rsid w:val="00090207"/>
    <w:rsid w:val="00090541"/>
    <w:rsid w:val="00090798"/>
    <w:rsid w:val="00090B9D"/>
    <w:rsid w:val="000911B4"/>
    <w:rsid w:val="000913D1"/>
    <w:rsid w:val="00091DE6"/>
    <w:rsid w:val="00092D47"/>
    <w:rsid w:val="00092E8A"/>
    <w:rsid w:val="00092FA0"/>
    <w:rsid w:val="0009351E"/>
    <w:rsid w:val="00093533"/>
    <w:rsid w:val="00093603"/>
    <w:rsid w:val="00093779"/>
    <w:rsid w:val="00093DA3"/>
    <w:rsid w:val="0009402F"/>
    <w:rsid w:val="00094631"/>
    <w:rsid w:val="00094759"/>
    <w:rsid w:val="00094B01"/>
    <w:rsid w:val="000956DB"/>
    <w:rsid w:val="00095B0E"/>
    <w:rsid w:val="00095E9D"/>
    <w:rsid w:val="00097674"/>
    <w:rsid w:val="0009786C"/>
    <w:rsid w:val="00097B7F"/>
    <w:rsid w:val="00097EC7"/>
    <w:rsid w:val="000A012A"/>
    <w:rsid w:val="000A0514"/>
    <w:rsid w:val="000A06BE"/>
    <w:rsid w:val="000A1392"/>
    <w:rsid w:val="000A1DA5"/>
    <w:rsid w:val="000A1DDB"/>
    <w:rsid w:val="000A21D1"/>
    <w:rsid w:val="000A3217"/>
    <w:rsid w:val="000A3460"/>
    <w:rsid w:val="000A4FB5"/>
    <w:rsid w:val="000A55D5"/>
    <w:rsid w:val="000A5819"/>
    <w:rsid w:val="000A5D61"/>
    <w:rsid w:val="000A5D65"/>
    <w:rsid w:val="000A6427"/>
    <w:rsid w:val="000A6BDB"/>
    <w:rsid w:val="000A7398"/>
    <w:rsid w:val="000A7D39"/>
    <w:rsid w:val="000B00AB"/>
    <w:rsid w:val="000B0150"/>
    <w:rsid w:val="000B03ED"/>
    <w:rsid w:val="000B0457"/>
    <w:rsid w:val="000B0476"/>
    <w:rsid w:val="000B04A7"/>
    <w:rsid w:val="000B0C06"/>
    <w:rsid w:val="000B1581"/>
    <w:rsid w:val="000B1F51"/>
    <w:rsid w:val="000B2A3F"/>
    <w:rsid w:val="000B3114"/>
    <w:rsid w:val="000B350D"/>
    <w:rsid w:val="000B41C3"/>
    <w:rsid w:val="000B444B"/>
    <w:rsid w:val="000B4645"/>
    <w:rsid w:val="000B49D8"/>
    <w:rsid w:val="000B5A54"/>
    <w:rsid w:val="000B5DB5"/>
    <w:rsid w:val="000B5E6E"/>
    <w:rsid w:val="000B65C5"/>
    <w:rsid w:val="000B6A5E"/>
    <w:rsid w:val="000B6E1A"/>
    <w:rsid w:val="000B71D7"/>
    <w:rsid w:val="000B7581"/>
    <w:rsid w:val="000B7BA1"/>
    <w:rsid w:val="000B7D3E"/>
    <w:rsid w:val="000C035C"/>
    <w:rsid w:val="000C03A3"/>
    <w:rsid w:val="000C069D"/>
    <w:rsid w:val="000C069E"/>
    <w:rsid w:val="000C077E"/>
    <w:rsid w:val="000C1197"/>
    <w:rsid w:val="000C160A"/>
    <w:rsid w:val="000C1758"/>
    <w:rsid w:val="000C212B"/>
    <w:rsid w:val="000C2152"/>
    <w:rsid w:val="000C2FED"/>
    <w:rsid w:val="000C30F3"/>
    <w:rsid w:val="000C3B7A"/>
    <w:rsid w:val="000C3FF0"/>
    <w:rsid w:val="000C457D"/>
    <w:rsid w:val="000C5324"/>
    <w:rsid w:val="000C54D3"/>
    <w:rsid w:val="000C550E"/>
    <w:rsid w:val="000C5562"/>
    <w:rsid w:val="000C5B33"/>
    <w:rsid w:val="000C6213"/>
    <w:rsid w:val="000C6ADC"/>
    <w:rsid w:val="000C6CE6"/>
    <w:rsid w:val="000C6DCC"/>
    <w:rsid w:val="000C76D9"/>
    <w:rsid w:val="000C7B3A"/>
    <w:rsid w:val="000C7F69"/>
    <w:rsid w:val="000D0106"/>
    <w:rsid w:val="000D0948"/>
    <w:rsid w:val="000D0A94"/>
    <w:rsid w:val="000D0BCA"/>
    <w:rsid w:val="000D0E11"/>
    <w:rsid w:val="000D24B9"/>
    <w:rsid w:val="000D2608"/>
    <w:rsid w:val="000D30C7"/>
    <w:rsid w:val="000D32DD"/>
    <w:rsid w:val="000D3CA3"/>
    <w:rsid w:val="000D4130"/>
    <w:rsid w:val="000D4641"/>
    <w:rsid w:val="000D4D5A"/>
    <w:rsid w:val="000D502E"/>
    <w:rsid w:val="000D56BB"/>
    <w:rsid w:val="000D66BF"/>
    <w:rsid w:val="000D6B15"/>
    <w:rsid w:val="000D6E0F"/>
    <w:rsid w:val="000D6E33"/>
    <w:rsid w:val="000D6E7B"/>
    <w:rsid w:val="000D6FEC"/>
    <w:rsid w:val="000D7688"/>
    <w:rsid w:val="000D7AAD"/>
    <w:rsid w:val="000D7ACB"/>
    <w:rsid w:val="000E002B"/>
    <w:rsid w:val="000E024C"/>
    <w:rsid w:val="000E036D"/>
    <w:rsid w:val="000E1DF0"/>
    <w:rsid w:val="000E1E11"/>
    <w:rsid w:val="000E2747"/>
    <w:rsid w:val="000E275F"/>
    <w:rsid w:val="000E2B9D"/>
    <w:rsid w:val="000E2CAF"/>
    <w:rsid w:val="000E2E22"/>
    <w:rsid w:val="000E317F"/>
    <w:rsid w:val="000E340B"/>
    <w:rsid w:val="000E3460"/>
    <w:rsid w:val="000E34FC"/>
    <w:rsid w:val="000E36A3"/>
    <w:rsid w:val="000E36E4"/>
    <w:rsid w:val="000E3A65"/>
    <w:rsid w:val="000E487E"/>
    <w:rsid w:val="000E4965"/>
    <w:rsid w:val="000E4A95"/>
    <w:rsid w:val="000E4BFC"/>
    <w:rsid w:val="000E4D1B"/>
    <w:rsid w:val="000E6430"/>
    <w:rsid w:val="000E6784"/>
    <w:rsid w:val="000E6C4E"/>
    <w:rsid w:val="000E6CD4"/>
    <w:rsid w:val="000E7018"/>
    <w:rsid w:val="000E71CB"/>
    <w:rsid w:val="000E7207"/>
    <w:rsid w:val="000E7296"/>
    <w:rsid w:val="000E7E53"/>
    <w:rsid w:val="000E7EF1"/>
    <w:rsid w:val="000F01FB"/>
    <w:rsid w:val="000F047F"/>
    <w:rsid w:val="000F0627"/>
    <w:rsid w:val="000F1EDC"/>
    <w:rsid w:val="000F36F2"/>
    <w:rsid w:val="000F3A9E"/>
    <w:rsid w:val="000F40AF"/>
    <w:rsid w:val="000F4536"/>
    <w:rsid w:val="000F4DFF"/>
    <w:rsid w:val="000F52B7"/>
    <w:rsid w:val="000F5BC5"/>
    <w:rsid w:val="000F5C09"/>
    <w:rsid w:val="000F5ED5"/>
    <w:rsid w:val="000F653B"/>
    <w:rsid w:val="000F6A08"/>
    <w:rsid w:val="000F6CC9"/>
    <w:rsid w:val="000F743E"/>
    <w:rsid w:val="000F7727"/>
    <w:rsid w:val="000F7A9E"/>
    <w:rsid w:val="000F7C68"/>
    <w:rsid w:val="00100223"/>
    <w:rsid w:val="00100537"/>
    <w:rsid w:val="0010068D"/>
    <w:rsid w:val="00100B05"/>
    <w:rsid w:val="00100C49"/>
    <w:rsid w:val="00100D7F"/>
    <w:rsid w:val="001012FD"/>
    <w:rsid w:val="00101AA5"/>
    <w:rsid w:val="001021C5"/>
    <w:rsid w:val="001027B1"/>
    <w:rsid w:val="00102B8A"/>
    <w:rsid w:val="00102EE2"/>
    <w:rsid w:val="00103AED"/>
    <w:rsid w:val="00103D88"/>
    <w:rsid w:val="00103E7D"/>
    <w:rsid w:val="00103ED7"/>
    <w:rsid w:val="0010421B"/>
    <w:rsid w:val="001046C9"/>
    <w:rsid w:val="001049FE"/>
    <w:rsid w:val="001052D3"/>
    <w:rsid w:val="00105A6D"/>
    <w:rsid w:val="00105FB7"/>
    <w:rsid w:val="00107583"/>
    <w:rsid w:val="001079F5"/>
    <w:rsid w:val="00107A58"/>
    <w:rsid w:val="00107AC9"/>
    <w:rsid w:val="00107D35"/>
    <w:rsid w:val="00107DD7"/>
    <w:rsid w:val="00107FE8"/>
    <w:rsid w:val="001102A3"/>
    <w:rsid w:val="00110438"/>
    <w:rsid w:val="00110628"/>
    <w:rsid w:val="00110B79"/>
    <w:rsid w:val="0011277E"/>
    <w:rsid w:val="00112A26"/>
    <w:rsid w:val="00112D8C"/>
    <w:rsid w:val="0011317F"/>
    <w:rsid w:val="0011353E"/>
    <w:rsid w:val="00114227"/>
    <w:rsid w:val="00114B20"/>
    <w:rsid w:val="00114D40"/>
    <w:rsid w:val="00115647"/>
    <w:rsid w:val="0011569D"/>
    <w:rsid w:val="00115889"/>
    <w:rsid w:val="001160E6"/>
    <w:rsid w:val="0011710C"/>
    <w:rsid w:val="00117326"/>
    <w:rsid w:val="001176C0"/>
    <w:rsid w:val="00117A14"/>
    <w:rsid w:val="00117C4C"/>
    <w:rsid w:val="00117E81"/>
    <w:rsid w:val="0012066A"/>
    <w:rsid w:val="00120CFF"/>
    <w:rsid w:val="001211E1"/>
    <w:rsid w:val="0012124B"/>
    <w:rsid w:val="001213BC"/>
    <w:rsid w:val="00121E14"/>
    <w:rsid w:val="001220F9"/>
    <w:rsid w:val="00122590"/>
    <w:rsid w:val="001228AB"/>
    <w:rsid w:val="00122938"/>
    <w:rsid w:val="00124381"/>
    <w:rsid w:val="001244D6"/>
    <w:rsid w:val="001245F2"/>
    <w:rsid w:val="0012475A"/>
    <w:rsid w:val="00124CAE"/>
    <w:rsid w:val="001250B3"/>
    <w:rsid w:val="00125179"/>
    <w:rsid w:val="001251F2"/>
    <w:rsid w:val="0012538D"/>
    <w:rsid w:val="001253E8"/>
    <w:rsid w:val="00125AAA"/>
    <w:rsid w:val="00125ACC"/>
    <w:rsid w:val="00125C60"/>
    <w:rsid w:val="00126021"/>
    <w:rsid w:val="001260B5"/>
    <w:rsid w:val="001261AC"/>
    <w:rsid w:val="001263D7"/>
    <w:rsid w:val="00126898"/>
    <w:rsid w:val="00126A8D"/>
    <w:rsid w:val="00126B19"/>
    <w:rsid w:val="00126F3F"/>
    <w:rsid w:val="00127858"/>
    <w:rsid w:val="00127C65"/>
    <w:rsid w:val="00127D94"/>
    <w:rsid w:val="001305FE"/>
    <w:rsid w:val="00130610"/>
    <w:rsid w:val="001306C6"/>
    <w:rsid w:val="00131767"/>
    <w:rsid w:val="00131C5B"/>
    <w:rsid w:val="00131E72"/>
    <w:rsid w:val="001327F0"/>
    <w:rsid w:val="00133B46"/>
    <w:rsid w:val="00134734"/>
    <w:rsid w:val="00135817"/>
    <w:rsid w:val="001361FB"/>
    <w:rsid w:val="001369C6"/>
    <w:rsid w:val="00136E6B"/>
    <w:rsid w:val="00136EF0"/>
    <w:rsid w:val="001373BC"/>
    <w:rsid w:val="00137968"/>
    <w:rsid w:val="00140659"/>
    <w:rsid w:val="00140714"/>
    <w:rsid w:val="00140C9C"/>
    <w:rsid w:val="001416E8"/>
    <w:rsid w:val="00141D72"/>
    <w:rsid w:val="00141F38"/>
    <w:rsid w:val="00142055"/>
    <w:rsid w:val="001429E4"/>
    <w:rsid w:val="00142ECE"/>
    <w:rsid w:val="00143E35"/>
    <w:rsid w:val="001443E3"/>
    <w:rsid w:val="00144655"/>
    <w:rsid w:val="00144A18"/>
    <w:rsid w:val="00144F38"/>
    <w:rsid w:val="00145BF1"/>
    <w:rsid w:val="00145E44"/>
    <w:rsid w:val="00145E9B"/>
    <w:rsid w:val="0014662F"/>
    <w:rsid w:val="001468B8"/>
    <w:rsid w:val="001473DA"/>
    <w:rsid w:val="00147443"/>
    <w:rsid w:val="00147807"/>
    <w:rsid w:val="00147842"/>
    <w:rsid w:val="00147CEE"/>
    <w:rsid w:val="00150355"/>
    <w:rsid w:val="00150418"/>
    <w:rsid w:val="0015051D"/>
    <w:rsid w:val="0015087E"/>
    <w:rsid w:val="00150ADD"/>
    <w:rsid w:val="00150C29"/>
    <w:rsid w:val="0015122F"/>
    <w:rsid w:val="0015140C"/>
    <w:rsid w:val="00151B3C"/>
    <w:rsid w:val="00151BF3"/>
    <w:rsid w:val="00151DAD"/>
    <w:rsid w:val="00151FA9"/>
    <w:rsid w:val="00152144"/>
    <w:rsid w:val="001524AC"/>
    <w:rsid w:val="001529F7"/>
    <w:rsid w:val="00152D6A"/>
    <w:rsid w:val="001531B3"/>
    <w:rsid w:val="00153878"/>
    <w:rsid w:val="00153AAB"/>
    <w:rsid w:val="00154090"/>
    <w:rsid w:val="001545A2"/>
    <w:rsid w:val="00154809"/>
    <w:rsid w:val="00154929"/>
    <w:rsid w:val="00154EB7"/>
    <w:rsid w:val="001557FC"/>
    <w:rsid w:val="00155C34"/>
    <w:rsid w:val="00156442"/>
    <w:rsid w:val="00156EA6"/>
    <w:rsid w:val="00157CCD"/>
    <w:rsid w:val="00157D45"/>
    <w:rsid w:val="00160285"/>
    <w:rsid w:val="001603BE"/>
    <w:rsid w:val="00160794"/>
    <w:rsid w:val="001614D5"/>
    <w:rsid w:val="001616C0"/>
    <w:rsid w:val="001619BA"/>
    <w:rsid w:val="00161E2C"/>
    <w:rsid w:val="00161EA1"/>
    <w:rsid w:val="00161EF7"/>
    <w:rsid w:val="001620E0"/>
    <w:rsid w:val="00162E8F"/>
    <w:rsid w:val="00163694"/>
    <w:rsid w:val="00164575"/>
    <w:rsid w:val="00164644"/>
    <w:rsid w:val="00164674"/>
    <w:rsid w:val="001649D2"/>
    <w:rsid w:val="00165488"/>
    <w:rsid w:val="00166074"/>
    <w:rsid w:val="0016668C"/>
    <w:rsid w:val="00166D56"/>
    <w:rsid w:val="00167DDC"/>
    <w:rsid w:val="00167F03"/>
    <w:rsid w:val="00170684"/>
    <w:rsid w:val="00170A32"/>
    <w:rsid w:val="00170DE2"/>
    <w:rsid w:val="001710B8"/>
    <w:rsid w:val="001710BC"/>
    <w:rsid w:val="00173D3D"/>
    <w:rsid w:val="00173F10"/>
    <w:rsid w:val="001744DF"/>
    <w:rsid w:val="00174679"/>
    <w:rsid w:val="00174886"/>
    <w:rsid w:val="00174AF8"/>
    <w:rsid w:val="00174D52"/>
    <w:rsid w:val="0017506B"/>
    <w:rsid w:val="001755BF"/>
    <w:rsid w:val="001758CB"/>
    <w:rsid w:val="00175FEB"/>
    <w:rsid w:val="001763C6"/>
    <w:rsid w:val="00176BE3"/>
    <w:rsid w:val="00177453"/>
    <w:rsid w:val="00177634"/>
    <w:rsid w:val="00177A70"/>
    <w:rsid w:val="00177FA5"/>
    <w:rsid w:val="0018094E"/>
    <w:rsid w:val="00180B36"/>
    <w:rsid w:val="00180BC8"/>
    <w:rsid w:val="00181192"/>
    <w:rsid w:val="00181BF5"/>
    <w:rsid w:val="0018231A"/>
    <w:rsid w:val="00182509"/>
    <w:rsid w:val="00182557"/>
    <w:rsid w:val="00182FCA"/>
    <w:rsid w:val="00183253"/>
    <w:rsid w:val="001835B5"/>
    <w:rsid w:val="00183A13"/>
    <w:rsid w:val="001841E6"/>
    <w:rsid w:val="00184F1A"/>
    <w:rsid w:val="001850B5"/>
    <w:rsid w:val="001854A7"/>
    <w:rsid w:val="00185789"/>
    <w:rsid w:val="00186060"/>
    <w:rsid w:val="00186631"/>
    <w:rsid w:val="00186CE9"/>
    <w:rsid w:val="00187009"/>
    <w:rsid w:val="0018730B"/>
    <w:rsid w:val="001874FA"/>
    <w:rsid w:val="00187DC4"/>
    <w:rsid w:val="0019017A"/>
    <w:rsid w:val="00190A0E"/>
    <w:rsid w:val="00190F47"/>
    <w:rsid w:val="001917F0"/>
    <w:rsid w:val="001918F1"/>
    <w:rsid w:val="001919F9"/>
    <w:rsid w:val="00191A9C"/>
    <w:rsid w:val="0019341E"/>
    <w:rsid w:val="00193C79"/>
    <w:rsid w:val="001942F9"/>
    <w:rsid w:val="001945D6"/>
    <w:rsid w:val="001948E6"/>
    <w:rsid w:val="0019493B"/>
    <w:rsid w:val="00194C0C"/>
    <w:rsid w:val="00195577"/>
    <w:rsid w:val="00195F78"/>
    <w:rsid w:val="00196574"/>
    <w:rsid w:val="0019673A"/>
    <w:rsid w:val="00196CF4"/>
    <w:rsid w:val="0019726D"/>
    <w:rsid w:val="00197408"/>
    <w:rsid w:val="001979E1"/>
    <w:rsid w:val="00197BC7"/>
    <w:rsid w:val="00197CB8"/>
    <w:rsid w:val="00197E5A"/>
    <w:rsid w:val="001A05B4"/>
    <w:rsid w:val="001A0ACF"/>
    <w:rsid w:val="001A0E51"/>
    <w:rsid w:val="001A0F3E"/>
    <w:rsid w:val="001A0F5E"/>
    <w:rsid w:val="001A1033"/>
    <w:rsid w:val="001A11BA"/>
    <w:rsid w:val="001A153E"/>
    <w:rsid w:val="001A18F7"/>
    <w:rsid w:val="001A1D09"/>
    <w:rsid w:val="001A2206"/>
    <w:rsid w:val="001A2375"/>
    <w:rsid w:val="001A26B3"/>
    <w:rsid w:val="001A2A34"/>
    <w:rsid w:val="001A3042"/>
    <w:rsid w:val="001A40B7"/>
    <w:rsid w:val="001A44DB"/>
    <w:rsid w:val="001A4A19"/>
    <w:rsid w:val="001A4D17"/>
    <w:rsid w:val="001A4DA9"/>
    <w:rsid w:val="001A4E6B"/>
    <w:rsid w:val="001A51CC"/>
    <w:rsid w:val="001A5F5A"/>
    <w:rsid w:val="001A6C48"/>
    <w:rsid w:val="001A6EF2"/>
    <w:rsid w:val="001A6FC7"/>
    <w:rsid w:val="001A7C5C"/>
    <w:rsid w:val="001B00A4"/>
    <w:rsid w:val="001B0601"/>
    <w:rsid w:val="001B06A9"/>
    <w:rsid w:val="001B0AB0"/>
    <w:rsid w:val="001B0C3E"/>
    <w:rsid w:val="001B0D3E"/>
    <w:rsid w:val="001B10F6"/>
    <w:rsid w:val="001B18E4"/>
    <w:rsid w:val="001B1E4A"/>
    <w:rsid w:val="001B2170"/>
    <w:rsid w:val="001B2603"/>
    <w:rsid w:val="001B2962"/>
    <w:rsid w:val="001B2A20"/>
    <w:rsid w:val="001B37F0"/>
    <w:rsid w:val="001B3BF9"/>
    <w:rsid w:val="001B3C0C"/>
    <w:rsid w:val="001B3D72"/>
    <w:rsid w:val="001B4809"/>
    <w:rsid w:val="001B4D1C"/>
    <w:rsid w:val="001B50EF"/>
    <w:rsid w:val="001B52B7"/>
    <w:rsid w:val="001B576F"/>
    <w:rsid w:val="001B5B3A"/>
    <w:rsid w:val="001B5ED6"/>
    <w:rsid w:val="001B617E"/>
    <w:rsid w:val="001B65CA"/>
    <w:rsid w:val="001B7383"/>
    <w:rsid w:val="001B765A"/>
    <w:rsid w:val="001B7E96"/>
    <w:rsid w:val="001C06E2"/>
    <w:rsid w:val="001C077F"/>
    <w:rsid w:val="001C0B8F"/>
    <w:rsid w:val="001C197E"/>
    <w:rsid w:val="001C1AAC"/>
    <w:rsid w:val="001C2C28"/>
    <w:rsid w:val="001C2EAF"/>
    <w:rsid w:val="001C3479"/>
    <w:rsid w:val="001C413B"/>
    <w:rsid w:val="001C4B67"/>
    <w:rsid w:val="001C4E76"/>
    <w:rsid w:val="001C5760"/>
    <w:rsid w:val="001C5829"/>
    <w:rsid w:val="001C69AA"/>
    <w:rsid w:val="001C7543"/>
    <w:rsid w:val="001C78D2"/>
    <w:rsid w:val="001C7A52"/>
    <w:rsid w:val="001C7CA0"/>
    <w:rsid w:val="001C7EAB"/>
    <w:rsid w:val="001D016F"/>
    <w:rsid w:val="001D0D15"/>
    <w:rsid w:val="001D0EF7"/>
    <w:rsid w:val="001D1170"/>
    <w:rsid w:val="001D1178"/>
    <w:rsid w:val="001D11EF"/>
    <w:rsid w:val="001D146B"/>
    <w:rsid w:val="001D181C"/>
    <w:rsid w:val="001D18D4"/>
    <w:rsid w:val="001D1923"/>
    <w:rsid w:val="001D1A5A"/>
    <w:rsid w:val="001D200E"/>
    <w:rsid w:val="001D2077"/>
    <w:rsid w:val="001D220A"/>
    <w:rsid w:val="001D2240"/>
    <w:rsid w:val="001D246C"/>
    <w:rsid w:val="001D2D20"/>
    <w:rsid w:val="001D333C"/>
    <w:rsid w:val="001D3360"/>
    <w:rsid w:val="001D3506"/>
    <w:rsid w:val="001D3E0B"/>
    <w:rsid w:val="001D4207"/>
    <w:rsid w:val="001D427C"/>
    <w:rsid w:val="001D44C3"/>
    <w:rsid w:val="001D46BD"/>
    <w:rsid w:val="001D4A35"/>
    <w:rsid w:val="001D4E2A"/>
    <w:rsid w:val="001D52A6"/>
    <w:rsid w:val="001D53AE"/>
    <w:rsid w:val="001D5615"/>
    <w:rsid w:val="001D5846"/>
    <w:rsid w:val="001D5977"/>
    <w:rsid w:val="001D597F"/>
    <w:rsid w:val="001D5E88"/>
    <w:rsid w:val="001D60B2"/>
    <w:rsid w:val="001D675B"/>
    <w:rsid w:val="001D718B"/>
    <w:rsid w:val="001D7B85"/>
    <w:rsid w:val="001E016B"/>
    <w:rsid w:val="001E1164"/>
    <w:rsid w:val="001E1416"/>
    <w:rsid w:val="001E2307"/>
    <w:rsid w:val="001E2BA6"/>
    <w:rsid w:val="001E2BB1"/>
    <w:rsid w:val="001E2EE7"/>
    <w:rsid w:val="001E3632"/>
    <w:rsid w:val="001E3673"/>
    <w:rsid w:val="001E36C5"/>
    <w:rsid w:val="001E37F0"/>
    <w:rsid w:val="001E3A78"/>
    <w:rsid w:val="001E3AD9"/>
    <w:rsid w:val="001E3F17"/>
    <w:rsid w:val="001E3FBB"/>
    <w:rsid w:val="001E4352"/>
    <w:rsid w:val="001E44D3"/>
    <w:rsid w:val="001E4ECD"/>
    <w:rsid w:val="001E5704"/>
    <w:rsid w:val="001E5C8A"/>
    <w:rsid w:val="001E5EC9"/>
    <w:rsid w:val="001E6047"/>
    <w:rsid w:val="001E640B"/>
    <w:rsid w:val="001E685B"/>
    <w:rsid w:val="001E72A9"/>
    <w:rsid w:val="001E7775"/>
    <w:rsid w:val="001E795E"/>
    <w:rsid w:val="001E7C95"/>
    <w:rsid w:val="001E7DA2"/>
    <w:rsid w:val="001E7EA6"/>
    <w:rsid w:val="001F0A2C"/>
    <w:rsid w:val="001F0EE0"/>
    <w:rsid w:val="001F1111"/>
    <w:rsid w:val="001F2AFB"/>
    <w:rsid w:val="001F2BC0"/>
    <w:rsid w:val="001F2E4F"/>
    <w:rsid w:val="001F2F23"/>
    <w:rsid w:val="001F322F"/>
    <w:rsid w:val="001F32BC"/>
    <w:rsid w:val="001F3659"/>
    <w:rsid w:val="001F3823"/>
    <w:rsid w:val="001F3BCD"/>
    <w:rsid w:val="001F3ED0"/>
    <w:rsid w:val="001F4026"/>
    <w:rsid w:val="001F42C4"/>
    <w:rsid w:val="001F42E0"/>
    <w:rsid w:val="001F4937"/>
    <w:rsid w:val="001F4D1F"/>
    <w:rsid w:val="001F5442"/>
    <w:rsid w:val="001F5702"/>
    <w:rsid w:val="001F59CB"/>
    <w:rsid w:val="001F6CA8"/>
    <w:rsid w:val="001F6F4A"/>
    <w:rsid w:val="001F71C8"/>
    <w:rsid w:val="001F7225"/>
    <w:rsid w:val="001F7358"/>
    <w:rsid w:val="001F7694"/>
    <w:rsid w:val="001F79A4"/>
    <w:rsid w:val="001F7DB8"/>
    <w:rsid w:val="00200ADF"/>
    <w:rsid w:val="00201061"/>
    <w:rsid w:val="002010FD"/>
    <w:rsid w:val="00201127"/>
    <w:rsid w:val="00201445"/>
    <w:rsid w:val="00202175"/>
    <w:rsid w:val="00202650"/>
    <w:rsid w:val="00202A18"/>
    <w:rsid w:val="00202B72"/>
    <w:rsid w:val="00202EE7"/>
    <w:rsid w:val="002030D5"/>
    <w:rsid w:val="00203181"/>
    <w:rsid w:val="00203389"/>
    <w:rsid w:val="00203567"/>
    <w:rsid w:val="00203A69"/>
    <w:rsid w:val="0020542A"/>
    <w:rsid w:val="00205DA4"/>
    <w:rsid w:val="00206260"/>
    <w:rsid w:val="00206601"/>
    <w:rsid w:val="002076DD"/>
    <w:rsid w:val="00207CBE"/>
    <w:rsid w:val="0021073E"/>
    <w:rsid w:val="00210F29"/>
    <w:rsid w:val="002111B0"/>
    <w:rsid w:val="00211264"/>
    <w:rsid w:val="00211591"/>
    <w:rsid w:val="002118C3"/>
    <w:rsid w:val="00211AB3"/>
    <w:rsid w:val="00211E25"/>
    <w:rsid w:val="00211F65"/>
    <w:rsid w:val="002120F2"/>
    <w:rsid w:val="0021235B"/>
    <w:rsid w:val="00212AAB"/>
    <w:rsid w:val="00213046"/>
    <w:rsid w:val="0021351B"/>
    <w:rsid w:val="002136C1"/>
    <w:rsid w:val="002137C2"/>
    <w:rsid w:val="002137FD"/>
    <w:rsid w:val="00213893"/>
    <w:rsid w:val="0021445A"/>
    <w:rsid w:val="00214822"/>
    <w:rsid w:val="00214AAD"/>
    <w:rsid w:val="002151B2"/>
    <w:rsid w:val="00215361"/>
    <w:rsid w:val="0021542C"/>
    <w:rsid w:val="002154F3"/>
    <w:rsid w:val="002159EB"/>
    <w:rsid w:val="00215ACA"/>
    <w:rsid w:val="00215BC3"/>
    <w:rsid w:val="00215CCC"/>
    <w:rsid w:val="00215F0B"/>
    <w:rsid w:val="002166C9"/>
    <w:rsid w:val="00216A12"/>
    <w:rsid w:val="002171D2"/>
    <w:rsid w:val="00217A88"/>
    <w:rsid w:val="00217B01"/>
    <w:rsid w:val="00220394"/>
    <w:rsid w:val="00220450"/>
    <w:rsid w:val="0022045C"/>
    <w:rsid w:val="00220D06"/>
    <w:rsid w:val="002212DF"/>
    <w:rsid w:val="0022172E"/>
    <w:rsid w:val="002219F4"/>
    <w:rsid w:val="00221D75"/>
    <w:rsid w:val="00221E88"/>
    <w:rsid w:val="00222300"/>
    <w:rsid w:val="0022273A"/>
    <w:rsid w:val="00222A01"/>
    <w:rsid w:val="00223232"/>
    <w:rsid w:val="00223831"/>
    <w:rsid w:val="00223865"/>
    <w:rsid w:val="00223AC1"/>
    <w:rsid w:val="00223C1D"/>
    <w:rsid w:val="00224164"/>
    <w:rsid w:val="002242D3"/>
    <w:rsid w:val="002247B8"/>
    <w:rsid w:val="00224A8C"/>
    <w:rsid w:val="00224CD8"/>
    <w:rsid w:val="00225191"/>
    <w:rsid w:val="002253AC"/>
    <w:rsid w:val="00225DBD"/>
    <w:rsid w:val="00226179"/>
    <w:rsid w:val="0022627C"/>
    <w:rsid w:val="00226AB2"/>
    <w:rsid w:val="00226BCA"/>
    <w:rsid w:val="00226D34"/>
    <w:rsid w:val="002272F4"/>
    <w:rsid w:val="00227473"/>
    <w:rsid w:val="00227563"/>
    <w:rsid w:val="002278DB"/>
    <w:rsid w:val="00230069"/>
    <w:rsid w:val="002300C9"/>
    <w:rsid w:val="00231026"/>
    <w:rsid w:val="00231362"/>
    <w:rsid w:val="002317A7"/>
    <w:rsid w:val="00231C31"/>
    <w:rsid w:val="00231FDA"/>
    <w:rsid w:val="0023210B"/>
    <w:rsid w:val="002326EF"/>
    <w:rsid w:val="002327F2"/>
    <w:rsid w:val="002328B4"/>
    <w:rsid w:val="002328FA"/>
    <w:rsid w:val="00232CA2"/>
    <w:rsid w:val="00232E7F"/>
    <w:rsid w:val="002331E9"/>
    <w:rsid w:val="0023362C"/>
    <w:rsid w:val="002337CA"/>
    <w:rsid w:val="00234131"/>
    <w:rsid w:val="00234883"/>
    <w:rsid w:val="002349E2"/>
    <w:rsid w:val="00234F30"/>
    <w:rsid w:val="002351F9"/>
    <w:rsid w:val="0023520C"/>
    <w:rsid w:val="002352D7"/>
    <w:rsid w:val="00235C23"/>
    <w:rsid w:val="00236426"/>
    <w:rsid w:val="002365E9"/>
    <w:rsid w:val="00236DF9"/>
    <w:rsid w:val="00237618"/>
    <w:rsid w:val="0024061A"/>
    <w:rsid w:val="00240E3C"/>
    <w:rsid w:val="00241648"/>
    <w:rsid w:val="00241839"/>
    <w:rsid w:val="00242018"/>
    <w:rsid w:val="0024248D"/>
    <w:rsid w:val="00242559"/>
    <w:rsid w:val="00242815"/>
    <w:rsid w:val="00242AB8"/>
    <w:rsid w:val="00242D1B"/>
    <w:rsid w:val="00242FCD"/>
    <w:rsid w:val="0024366E"/>
    <w:rsid w:val="002436BC"/>
    <w:rsid w:val="002437B4"/>
    <w:rsid w:val="002437C1"/>
    <w:rsid w:val="002437C6"/>
    <w:rsid w:val="00243E24"/>
    <w:rsid w:val="00244571"/>
    <w:rsid w:val="00244868"/>
    <w:rsid w:val="00244BE5"/>
    <w:rsid w:val="00244E8F"/>
    <w:rsid w:val="00245666"/>
    <w:rsid w:val="0024572E"/>
    <w:rsid w:val="00245C20"/>
    <w:rsid w:val="0024681B"/>
    <w:rsid w:val="00246DD2"/>
    <w:rsid w:val="00247F46"/>
    <w:rsid w:val="0025036F"/>
    <w:rsid w:val="002504F7"/>
    <w:rsid w:val="0025077C"/>
    <w:rsid w:val="002513A4"/>
    <w:rsid w:val="00251871"/>
    <w:rsid w:val="00251ED8"/>
    <w:rsid w:val="00251FD8"/>
    <w:rsid w:val="002521ED"/>
    <w:rsid w:val="0025224C"/>
    <w:rsid w:val="0025247A"/>
    <w:rsid w:val="002529BF"/>
    <w:rsid w:val="00252B07"/>
    <w:rsid w:val="00252E33"/>
    <w:rsid w:val="002539FD"/>
    <w:rsid w:val="00253C4F"/>
    <w:rsid w:val="00253D00"/>
    <w:rsid w:val="0025435F"/>
    <w:rsid w:val="00254512"/>
    <w:rsid w:val="00254597"/>
    <w:rsid w:val="00254AA8"/>
    <w:rsid w:val="0025527B"/>
    <w:rsid w:val="002557A1"/>
    <w:rsid w:val="00255A4C"/>
    <w:rsid w:val="00255AD1"/>
    <w:rsid w:val="00255B2E"/>
    <w:rsid w:val="0025693A"/>
    <w:rsid w:val="00256EEA"/>
    <w:rsid w:val="00256FAE"/>
    <w:rsid w:val="00256FFC"/>
    <w:rsid w:val="002573A8"/>
    <w:rsid w:val="0025750F"/>
    <w:rsid w:val="00257736"/>
    <w:rsid w:val="0026055D"/>
    <w:rsid w:val="00260649"/>
    <w:rsid w:val="00260D0A"/>
    <w:rsid w:val="00261423"/>
    <w:rsid w:val="00261503"/>
    <w:rsid w:val="00261A35"/>
    <w:rsid w:val="002622AB"/>
    <w:rsid w:val="00262304"/>
    <w:rsid w:val="00262551"/>
    <w:rsid w:val="00262AEC"/>
    <w:rsid w:val="002631F7"/>
    <w:rsid w:val="00263734"/>
    <w:rsid w:val="0026386A"/>
    <w:rsid w:val="00263910"/>
    <w:rsid w:val="00263FD3"/>
    <w:rsid w:val="00264011"/>
    <w:rsid w:val="0026418D"/>
    <w:rsid w:val="002642C0"/>
    <w:rsid w:val="00264A8A"/>
    <w:rsid w:val="00264D29"/>
    <w:rsid w:val="00265392"/>
    <w:rsid w:val="0026539E"/>
    <w:rsid w:val="00265AD7"/>
    <w:rsid w:val="00265AFF"/>
    <w:rsid w:val="00265EE2"/>
    <w:rsid w:val="0026656E"/>
    <w:rsid w:val="002669B3"/>
    <w:rsid w:val="002669B6"/>
    <w:rsid w:val="00266EC7"/>
    <w:rsid w:val="00267183"/>
    <w:rsid w:val="00267673"/>
    <w:rsid w:val="00267E86"/>
    <w:rsid w:val="00270876"/>
    <w:rsid w:val="002708C7"/>
    <w:rsid w:val="00270966"/>
    <w:rsid w:val="00271139"/>
    <w:rsid w:val="00271B49"/>
    <w:rsid w:val="00271CA5"/>
    <w:rsid w:val="002729DA"/>
    <w:rsid w:val="00272A19"/>
    <w:rsid w:val="00272AF1"/>
    <w:rsid w:val="002731EA"/>
    <w:rsid w:val="00273E13"/>
    <w:rsid w:val="00273E82"/>
    <w:rsid w:val="00274E3C"/>
    <w:rsid w:val="002750BA"/>
    <w:rsid w:val="00275325"/>
    <w:rsid w:val="0027634B"/>
    <w:rsid w:val="002763E1"/>
    <w:rsid w:val="0027697C"/>
    <w:rsid w:val="00276B81"/>
    <w:rsid w:val="00276D97"/>
    <w:rsid w:val="002777A6"/>
    <w:rsid w:val="00280A78"/>
    <w:rsid w:val="00281BF8"/>
    <w:rsid w:val="00281D51"/>
    <w:rsid w:val="00281EA4"/>
    <w:rsid w:val="00282140"/>
    <w:rsid w:val="00282693"/>
    <w:rsid w:val="00282A4B"/>
    <w:rsid w:val="002832E8"/>
    <w:rsid w:val="00283FBF"/>
    <w:rsid w:val="002853B1"/>
    <w:rsid w:val="0028542E"/>
    <w:rsid w:val="00285530"/>
    <w:rsid w:val="00286B46"/>
    <w:rsid w:val="00286DFF"/>
    <w:rsid w:val="0028709B"/>
    <w:rsid w:val="002873F5"/>
    <w:rsid w:val="0028775C"/>
    <w:rsid w:val="002877C4"/>
    <w:rsid w:val="00287933"/>
    <w:rsid w:val="00287B00"/>
    <w:rsid w:val="00287FF7"/>
    <w:rsid w:val="0029017A"/>
    <w:rsid w:val="00290730"/>
    <w:rsid w:val="00290F0B"/>
    <w:rsid w:val="00291E37"/>
    <w:rsid w:val="00292A04"/>
    <w:rsid w:val="002930C6"/>
    <w:rsid w:val="00293643"/>
    <w:rsid w:val="00293A01"/>
    <w:rsid w:val="00293CD9"/>
    <w:rsid w:val="00293E54"/>
    <w:rsid w:val="002941FF"/>
    <w:rsid w:val="00294ACB"/>
    <w:rsid w:val="00294AEF"/>
    <w:rsid w:val="00294B38"/>
    <w:rsid w:val="00294E57"/>
    <w:rsid w:val="0029614F"/>
    <w:rsid w:val="002968C3"/>
    <w:rsid w:val="002976AF"/>
    <w:rsid w:val="00297968"/>
    <w:rsid w:val="00297CAB"/>
    <w:rsid w:val="00297F65"/>
    <w:rsid w:val="002A019C"/>
    <w:rsid w:val="002A0278"/>
    <w:rsid w:val="002A0336"/>
    <w:rsid w:val="002A108D"/>
    <w:rsid w:val="002A2386"/>
    <w:rsid w:val="002A2694"/>
    <w:rsid w:val="002A3262"/>
    <w:rsid w:val="002A3BFA"/>
    <w:rsid w:val="002A3F3A"/>
    <w:rsid w:val="002A425F"/>
    <w:rsid w:val="002A4EB0"/>
    <w:rsid w:val="002A4F9C"/>
    <w:rsid w:val="002A59DE"/>
    <w:rsid w:val="002A64DC"/>
    <w:rsid w:val="002A658E"/>
    <w:rsid w:val="002A690D"/>
    <w:rsid w:val="002A6EB9"/>
    <w:rsid w:val="002A7090"/>
    <w:rsid w:val="002A709F"/>
    <w:rsid w:val="002A7262"/>
    <w:rsid w:val="002A7271"/>
    <w:rsid w:val="002A7305"/>
    <w:rsid w:val="002A7899"/>
    <w:rsid w:val="002A7CC2"/>
    <w:rsid w:val="002B0366"/>
    <w:rsid w:val="002B063E"/>
    <w:rsid w:val="002B0FC7"/>
    <w:rsid w:val="002B1FD4"/>
    <w:rsid w:val="002B2133"/>
    <w:rsid w:val="002B21B9"/>
    <w:rsid w:val="002B242A"/>
    <w:rsid w:val="002B2768"/>
    <w:rsid w:val="002B27B7"/>
    <w:rsid w:val="002B296D"/>
    <w:rsid w:val="002B2A35"/>
    <w:rsid w:val="002B2BBB"/>
    <w:rsid w:val="002B2F94"/>
    <w:rsid w:val="002B3228"/>
    <w:rsid w:val="002B3384"/>
    <w:rsid w:val="002B3EF8"/>
    <w:rsid w:val="002B40EA"/>
    <w:rsid w:val="002B4769"/>
    <w:rsid w:val="002B480B"/>
    <w:rsid w:val="002B4AFB"/>
    <w:rsid w:val="002B5069"/>
    <w:rsid w:val="002B56F5"/>
    <w:rsid w:val="002B606D"/>
    <w:rsid w:val="002B61D0"/>
    <w:rsid w:val="002B6BAA"/>
    <w:rsid w:val="002B7284"/>
    <w:rsid w:val="002B7AD3"/>
    <w:rsid w:val="002C00D3"/>
    <w:rsid w:val="002C09EC"/>
    <w:rsid w:val="002C0AA6"/>
    <w:rsid w:val="002C0B51"/>
    <w:rsid w:val="002C0E4D"/>
    <w:rsid w:val="002C11B3"/>
    <w:rsid w:val="002C12AF"/>
    <w:rsid w:val="002C14C0"/>
    <w:rsid w:val="002C172D"/>
    <w:rsid w:val="002C1781"/>
    <w:rsid w:val="002C1856"/>
    <w:rsid w:val="002C1E01"/>
    <w:rsid w:val="002C23D8"/>
    <w:rsid w:val="002C2822"/>
    <w:rsid w:val="002C2941"/>
    <w:rsid w:val="002C2AEF"/>
    <w:rsid w:val="002C2F40"/>
    <w:rsid w:val="002C3442"/>
    <w:rsid w:val="002C345A"/>
    <w:rsid w:val="002C3647"/>
    <w:rsid w:val="002C39B8"/>
    <w:rsid w:val="002C3C9D"/>
    <w:rsid w:val="002C41A5"/>
    <w:rsid w:val="002C49C9"/>
    <w:rsid w:val="002C4C5D"/>
    <w:rsid w:val="002C4E13"/>
    <w:rsid w:val="002C4F37"/>
    <w:rsid w:val="002C5219"/>
    <w:rsid w:val="002C5286"/>
    <w:rsid w:val="002C5626"/>
    <w:rsid w:val="002C5829"/>
    <w:rsid w:val="002C593F"/>
    <w:rsid w:val="002C5BE0"/>
    <w:rsid w:val="002C5CE2"/>
    <w:rsid w:val="002C6967"/>
    <w:rsid w:val="002C6D3F"/>
    <w:rsid w:val="002C6F64"/>
    <w:rsid w:val="002C72EE"/>
    <w:rsid w:val="002C72F9"/>
    <w:rsid w:val="002C7AEC"/>
    <w:rsid w:val="002D03D8"/>
    <w:rsid w:val="002D08BD"/>
    <w:rsid w:val="002D0974"/>
    <w:rsid w:val="002D167B"/>
    <w:rsid w:val="002D1C0A"/>
    <w:rsid w:val="002D21B6"/>
    <w:rsid w:val="002D22C1"/>
    <w:rsid w:val="002D22C6"/>
    <w:rsid w:val="002D23D0"/>
    <w:rsid w:val="002D2445"/>
    <w:rsid w:val="002D2E59"/>
    <w:rsid w:val="002D31D8"/>
    <w:rsid w:val="002D3B09"/>
    <w:rsid w:val="002D3CA6"/>
    <w:rsid w:val="002D4281"/>
    <w:rsid w:val="002D4A6A"/>
    <w:rsid w:val="002D553C"/>
    <w:rsid w:val="002D651B"/>
    <w:rsid w:val="002D6914"/>
    <w:rsid w:val="002D692D"/>
    <w:rsid w:val="002D7969"/>
    <w:rsid w:val="002D7B86"/>
    <w:rsid w:val="002D7C28"/>
    <w:rsid w:val="002D7F39"/>
    <w:rsid w:val="002E07BC"/>
    <w:rsid w:val="002E0CE9"/>
    <w:rsid w:val="002E0EBA"/>
    <w:rsid w:val="002E13FE"/>
    <w:rsid w:val="002E1807"/>
    <w:rsid w:val="002E1CB5"/>
    <w:rsid w:val="002E254F"/>
    <w:rsid w:val="002E33D2"/>
    <w:rsid w:val="002E3A0B"/>
    <w:rsid w:val="002E3BFC"/>
    <w:rsid w:val="002E3C80"/>
    <w:rsid w:val="002E4546"/>
    <w:rsid w:val="002E50B1"/>
    <w:rsid w:val="002E5CA9"/>
    <w:rsid w:val="002E6283"/>
    <w:rsid w:val="002E6565"/>
    <w:rsid w:val="002E65E2"/>
    <w:rsid w:val="002E662F"/>
    <w:rsid w:val="002E6831"/>
    <w:rsid w:val="002E73B3"/>
    <w:rsid w:val="002F03E4"/>
    <w:rsid w:val="002F0426"/>
    <w:rsid w:val="002F0B2A"/>
    <w:rsid w:val="002F1036"/>
    <w:rsid w:val="002F12BA"/>
    <w:rsid w:val="002F1788"/>
    <w:rsid w:val="002F1B3F"/>
    <w:rsid w:val="002F1F78"/>
    <w:rsid w:val="002F2C69"/>
    <w:rsid w:val="002F2ED4"/>
    <w:rsid w:val="002F35EB"/>
    <w:rsid w:val="002F4559"/>
    <w:rsid w:val="002F45E1"/>
    <w:rsid w:val="002F49E9"/>
    <w:rsid w:val="002F4D6A"/>
    <w:rsid w:val="002F5A5F"/>
    <w:rsid w:val="002F5C3E"/>
    <w:rsid w:val="002F6569"/>
    <w:rsid w:val="002F6614"/>
    <w:rsid w:val="002F6BD6"/>
    <w:rsid w:val="002F6C9C"/>
    <w:rsid w:val="002F6CB8"/>
    <w:rsid w:val="002F6CFE"/>
    <w:rsid w:val="002F7032"/>
    <w:rsid w:val="002F7549"/>
    <w:rsid w:val="002F7E04"/>
    <w:rsid w:val="0030004F"/>
    <w:rsid w:val="00300D4A"/>
    <w:rsid w:val="003011C7"/>
    <w:rsid w:val="003011DE"/>
    <w:rsid w:val="00301829"/>
    <w:rsid w:val="0030247B"/>
    <w:rsid w:val="003028BC"/>
    <w:rsid w:val="00303AA7"/>
    <w:rsid w:val="00303C9C"/>
    <w:rsid w:val="003043DE"/>
    <w:rsid w:val="0030445A"/>
    <w:rsid w:val="00304696"/>
    <w:rsid w:val="00304763"/>
    <w:rsid w:val="00304DEA"/>
    <w:rsid w:val="003053C1"/>
    <w:rsid w:val="0030548C"/>
    <w:rsid w:val="00306ED2"/>
    <w:rsid w:val="00306FE1"/>
    <w:rsid w:val="003072D3"/>
    <w:rsid w:val="0030745B"/>
    <w:rsid w:val="0030774A"/>
    <w:rsid w:val="00307937"/>
    <w:rsid w:val="00307B46"/>
    <w:rsid w:val="00307B76"/>
    <w:rsid w:val="00310F3C"/>
    <w:rsid w:val="003113D7"/>
    <w:rsid w:val="00312A7B"/>
    <w:rsid w:val="00312D32"/>
    <w:rsid w:val="00313329"/>
    <w:rsid w:val="003133C7"/>
    <w:rsid w:val="00313502"/>
    <w:rsid w:val="00313946"/>
    <w:rsid w:val="00313E5B"/>
    <w:rsid w:val="00314464"/>
    <w:rsid w:val="0031543A"/>
    <w:rsid w:val="00315A5D"/>
    <w:rsid w:val="00315C94"/>
    <w:rsid w:val="00316493"/>
    <w:rsid w:val="00316A3B"/>
    <w:rsid w:val="00316A5D"/>
    <w:rsid w:val="00317222"/>
    <w:rsid w:val="00317795"/>
    <w:rsid w:val="00317E12"/>
    <w:rsid w:val="003200DB"/>
    <w:rsid w:val="003203F9"/>
    <w:rsid w:val="0032116E"/>
    <w:rsid w:val="003211C9"/>
    <w:rsid w:val="003219A5"/>
    <w:rsid w:val="00322083"/>
    <w:rsid w:val="0032208F"/>
    <w:rsid w:val="00322DA6"/>
    <w:rsid w:val="003230FF"/>
    <w:rsid w:val="0032349A"/>
    <w:rsid w:val="0032376A"/>
    <w:rsid w:val="00324269"/>
    <w:rsid w:val="00324765"/>
    <w:rsid w:val="00324C4F"/>
    <w:rsid w:val="00324F64"/>
    <w:rsid w:val="00325B23"/>
    <w:rsid w:val="003260F2"/>
    <w:rsid w:val="0032726A"/>
    <w:rsid w:val="00327594"/>
    <w:rsid w:val="0033026A"/>
    <w:rsid w:val="003307F8"/>
    <w:rsid w:val="00330B3B"/>
    <w:rsid w:val="00330EEA"/>
    <w:rsid w:val="0033155A"/>
    <w:rsid w:val="00331CEE"/>
    <w:rsid w:val="003321FC"/>
    <w:rsid w:val="003329B3"/>
    <w:rsid w:val="00333129"/>
    <w:rsid w:val="003331EB"/>
    <w:rsid w:val="00333627"/>
    <w:rsid w:val="00333727"/>
    <w:rsid w:val="00333B64"/>
    <w:rsid w:val="00333D98"/>
    <w:rsid w:val="00333EA6"/>
    <w:rsid w:val="0033405F"/>
    <w:rsid w:val="00334720"/>
    <w:rsid w:val="00334876"/>
    <w:rsid w:val="00334A10"/>
    <w:rsid w:val="00334A52"/>
    <w:rsid w:val="00334C08"/>
    <w:rsid w:val="00334EA7"/>
    <w:rsid w:val="00334F33"/>
    <w:rsid w:val="00335363"/>
    <w:rsid w:val="003357C0"/>
    <w:rsid w:val="003359C2"/>
    <w:rsid w:val="00335B54"/>
    <w:rsid w:val="00336129"/>
    <w:rsid w:val="003369D6"/>
    <w:rsid w:val="00336A63"/>
    <w:rsid w:val="00337062"/>
    <w:rsid w:val="00337A2A"/>
    <w:rsid w:val="003400CD"/>
    <w:rsid w:val="00340329"/>
    <w:rsid w:val="0034059D"/>
    <w:rsid w:val="00340A7F"/>
    <w:rsid w:val="00341501"/>
    <w:rsid w:val="0034194D"/>
    <w:rsid w:val="003419DE"/>
    <w:rsid w:val="00341C26"/>
    <w:rsid w:val="003420A2"/>
    <w:rsid w:val="003426B8"/>
    <w:rsid w:val="00342827"/>
    <w:rsid w:val="00342C16"/>
    <w:rsid w:val="00342E15"/>
    <w:rsid w:val="003431CB"/>
    <w:rsid w:val="003450F3"/>
    <w:rsid w:val="00345326"/>
    <w:rsid w:val="003453ED"/>
    <w:rsid w:val="00345E08"/>
    <w:rsid w:val="00345EBC"/>
    <w:rsid w:val="003461D9"/>
    <w:rsid w:val="00346B49"/>
    <w:rsid w:val="00347333"/>
    <w:rsid w:val="0034765A"/>
    <w:rsid w:val="0035050C"/>
    <w:rsid w:val="003506D7"/>
    <w:rsid w:val="0035094B"/>
    <w:rsid w:val="00350B17"/>
    <w:rsid w:val="00350F4E"/>
    <w:rsid w:val="003519B4"/>
    <w:rsid w:val="00351C40"/>
    <w:rsid w:val="00352917"/>
    <w:rsid w:val="00352EB6"/>
    <w:rsid w:val="00353168"/>
    <w:rsid w:val="00353E91"/>
    <w:rsid w:val="0035442E"/>
    <w:rsid w:val="00355E71"/>
    <w:rsid w:val="00355F30"/>
    <w:rsid w:val="00356105"/>
    <w:rsid w:val="003568AA"/>
    <w:rsid w:val="00356BEF"/>
    <w:rsid w:val="00357430"/>
    <w:rsid w:val="0035765E"/>
    <w:rsid w:val="00357B09"/>
    <w:rsid w:val="00357DFD"/>
    <w:rsid w:val="003605FC"/>
    <w:rsid w:val="0036140F"/>
    <w:rsid w:val="003615CF"/>
    <w:rsid w:val="003618BB"/>
    <w:rsid w:val="00361C81"/>
    <w:rsid w:val="00361EF4"/>
    <w:rsid w:val="00362AEC"/>
    <w:rsid w:val="00362DEE"/>
    <w:rsid w:val="0036304D"/>
    <w:rsid w:val="0036309D"/>
    <w:rsid w:val="003638D8"/>
    <w:rsid w:val="00363E96"/>
    <w:rsid w:val="00364864"/>
    <w:rsid w:val="00364B57"/>
    <w:rsid w:val="00364F9D"/>
    <w:rsid w:val="00365F78"/>
    <w:rsid w:val="00365F7A"/>
    <w:rsid w:val="00366482"/>
    <w:rsid w:val="003664DC"/>
    <w:rsid w:val="00367361"/>
    <w:rsid w:val="00367377"/>
    <w:rsid w:val="0036760F"/>
    <w:rsid w:val="00367734"/>
    <w:rsid w:val="00367B35"/>
    <w:rsid w:val="00367E4E"/>
    <w:rsid w:val="00370463"/>
    <w:rsid w:val="003708D6"/>
    <w:rsid w:val="00371531"/>
    <w:rsid w:val="00371DAB"/>
    <w:rsid w:val="00372018"/>
    <w:rsid w:val="00372815"/>
    <w:rsid w:val="00372A0C"/>
    <w:rsid w:val="00372C6D"/>
    <w:rsid w:val="00373743"/>
    <w:rsid w:val="0037392D"/>
    <w:rsid w:val="00373E42"/>
    <w:rsid w:val="00373EA1"/>
    <w:rsid w:val="003770D2"/>
    <w:rsid w:val="0037719A"/>
    <w:rsid w:val="00377274"/>
    <w:rsid w:val="003773E6"/>
    <w:rsid w:val="00377423"/>
    <w:rsid w:val="00377925"/>
    <w:rsid w:val="003779E7"/>
    <w:rsid w:val="00377B93"/>
    <w:rsid w:val="00380179"/>
    <w:rsid w:val="003801BA"/>
    <w:rsid w:val="00380761"/>
    <w:rsid w:val="0038079E"/>
    <w:rsid w:val="00380810"/>
    <w:rsid w:val="00380BC3"/>
    <w:rsid w:val="00380BD6"/>
    <w:rsid w:val="003815F3"/>
    <w:rsid w:val="00381A74"/>
    <w:rsid w:val="00381BE9"/>
    <w:rsid w:val="00381F36"/>
    <w:rsid w:val="0038235F"/>
    <w:rsid w:val="00383026"/>
    <w:rsid w:val="00383EDA"/>
    <w:rsid w:val="00385263"/>
    <w:rsid w:val="0038536A"/>
    <w:rsid w:val="003853FA"/>
    <w:rsid w:val="0038542B"/>
    <w:rsid w:val="00385632"/>
    <w:rsid w:val="003859A8"/>
    <w:rsid w:val="00385C0B"/>
    <w:rsid w:val="00385D17"/>
    <w:rsid w:val="00386F21"/>
    <w:rsid w:val="0038700E"/>
    <w:rsid w:val="003875A4"/>
    <w:rsid w:val="00387719"/>
    <w:rsid w:val="003877A9"/>
    <w:rsid w:val="00390452"/>
    <w:rsid w:val="0039045A"/>
    <w:rsid w:val="003904C2"/>
    <w:rsid w:val="00390503"/>
    <w:rsid w:val="00390AF5"/>
    <w:rsid w:val="00390F0F"/>
    <w:rsid w:val="00391D9A"/>
    <w:rsid w:val="0039201B"/>
    <w:rsid w:val="00392111"/>
    <w:rsid w:val="00392661"/>
    <w:rsid w:val="00393160"/>
    <w:rsid w:val="00393202"/>
    <w:rsid w:val="003939D4"/>
    <w:rsid w:val="00393B11"/>
    <w:rsid w:val="003941AD"/>
    <w:rsid w:val="003945D2"/>
    <w:rsid w:val="0039487A"/>
    <w:rsid w:val="00395571"/>
    <w:rsid w:val="003956F7"/>
    <w:rsid w:val="003958EF"/>
    <w:rsid w:val="00395AAB"/>
    <w:rsid w:val="00396045"/>
    <w:rsid w:val="003964E3"/>
    <w:rsid w:val="003967A5"/>
    <w:rsid w:val="003968AC"/>
    <w:rsid w:val="0039691B"/>
    <w:rsid w:val="00396E74"/>
    <w:rsid w:val="00396EA3"/>
    <w:rsid w:val="00397AE7"/>
    <w:rsid w:val="00397E63"/>
    <w:rsid w:val="003A107E"/>
    <w:rsid w:val="003A10E4"/>
    <w:rsid w:val="003A12DD"/>
    <w:rsid w:val="003A1396"/>
    <w:rsid w:val="003A13B1"/>
    <w:rsid w:val="003A166F"/>
    <w:rsid w:val="003A17E0"/>
    <w:rsid w:val="003A1967"/>
    <w:rsid w:val="003A1EC8"/>
    <w:rsid w:val="003A28F3"/>
    <w:rsid w:val="003A296A"/>
    <w:rsid w:val="003A3025"/>
    <w:rsid w:val="003A36E1"/>
    <w:rsid w:val="003A40CD"/>
    <w:rsid w:val="003A44C6"/>
    <w:rsid w:val="003A50E6"/>
    <w:rsid w:val="003A53D7"/>
    <w:rsid w:val="003A5539"/>
    <w:rsid w:val="003A55A2"/>
    <w:rsid w:val="003A6519"/>
    <w:rsid w:val="003A6FAF"/>
    <w:rsid w:val="003A7F60"/>
    <w:rsid w:val="003B0534"/>
    <w:rsid w:val="003B0591"/>
    <w:rsid w:val="003B0760"/>
    <w:rsid w:val="003B143D"/>
    <w:rsid w:val="003B15D4"/>
    <w:rsid w:val="003B1628"/>
    <w:rsid w:val="003B1BE6"/>
    <w:rsid w:val="003B1E13"/>
    <w:rsid w:val="003B1E16"/>
    <w:rsid w:val="003B1E8A"/>
    <w:rsid w:val="003B22A9"/>
    <w:rsid w:val="003B2A2C"/>
    <w:rsid w:val="003B2BEC"/>
    <w:rsid w:val="003B2F8E"/>
    <w:rsid w:val="003B2FB0"/>
    <w:rsid w:val="003B37F1"/>
    <w:rsid w:val="003B4200"/>
    <w:rsid w:val="003B4847"/>
    <w:rsid w:val="003B5086"/>
    <w:rsid w:val="003B5C26"/>
    <w:rsid w:val="003B6426"/>
    <w:rsid w:val="003B6898"/>
    <w:rsid w:val="003B6C3F"/>
    <w:rsid w:val="003B6E47"/>
    <w:rsid w:val="003B7111"/>
    <w:rsid w:val="003B7239"/>
    <w:rsid w:val="003B72B9"/>
    <w:rsid w:val="003C1371"/>
    <w:rsid w:val="003C13FC"/>
    <w:rsid w:val="003C14BE"/>
    <w:rsid w:val="003C1FEA"/>
    <w:rsid w:val="003C2B26"/>
    <w:rsid w:val="003C2CAC"/>
    <w:rsid w:val="003C2CB4"/>
    <w:rsid w:val="003C2F0E"/>
    <w:rsid w:val="003C32C9"/>
    <w:rsid w:val="003C4B62"/>
    <w:rsid w:val="003C4C9A"/>
    <w:rsid w:val="003C5406"/>
    <w:rsid w:val="003C540D"/>
    <w:rsid w:val="003C579C"/>
    <w:rsid w:val="003C57BC"/>
    <w:rsid w:val="003C5DA1"/>
    <w:rsid w:val="003C5DB6"/>
    <w:rsid w:val="003C61E6"/>
    <w:rsid w:val="003C62A3"/>
    <w:rsid w:val="003C65A8"/>
    <w:rsid w:val="003C7A0A"/>
    <w:rsid w:val="003C7AC4"/>
    <w:rsid w:val="003C7DBE"/>
    <w:rsid w:val="003D0057"/>
    <w:rsid w:val="003D04EF"/>
    <w:rsid w:val="003D080D"/>
    <w:rsid w:val="003D15C7"/>
    <w:rsid w:val="003D16CA"/>
    <w:rsid w:val="003D1800"/>
    <w:rsid w:val="003D1FA7"/>
    <w:rsid w:val="003D24F0"/>
    <w:rsid w:val="003D2771"/>
    <w:rsid w:val="003D2C32"/>
    <w:rsid w:val="003D2F4C"/>
    <w:rsid w:val="003D33EE"/>
    <w:rsid w:val="003D3496"/>
    <w:rsid w:val="003D38DD"/>
    <w:rsid w:val="003D3F1B"/>
    <w:rsid w:val="003D4328"/>
    <w:rsid w:val="003D55DD"/>
    <w:rsid w:val="003D5605"/>
    <w:rsid w:val="003D58B4"/>
    <w:rsid w:val="003D5960"/>
    <w:rsid w:val="003D60D6"/>
    <w:rsid w:val="003D6836"/>
    <w:rsid w:val="003D7C27"/>
    <w:rsid w:val="003E06B5"/>
    <w:rsid w:val="003E0731"/>
    <w:rsid w:val="003E1264"/>
    <w:rsid w:val="003E16A8"/>
    <w:rsid w:val="003E1ABA"/>
    <w:rsid w:val="003E204A"/>
    <w:rsid w:val="003E25D2"/>
    <w:rsid w:val="003E2B61"/>
    <w:rsid w:val="003E2D02"/>
    <w:rsid w:val="003E3475"/>
    <w:rsid w:val="003E39E4"/>
    <w:rsid w:val="003E3CFF"/>
    <w:rsid w:val="003E3E2A"/>
    <w:rsid w:val="003E458D"/>
    <w:rsid w:val="003E4706"/>
    <w:rsid w:val="003E4803"/>
    <w:rsid w:val="003E4A15"/>
    <w:rsid w:val="003E5214"/>
    <w:rsid w:val="003E5990"/>
    <w:rsid w:val="003E5B4D"/>
    <w:rsid w:val="003E5C96"/>
    <w:rsid w:val="003E5EFE"/>
    <w:rsid w:val="003E6134"/>
    <w:rsid w:val="003E624B"/>
    <w:rsid w:val="003E636E"/>
    <w:rsid w:val="003E641C"/>
    <w:rsid w:val="003E6481"/>
    <w:rsid w:val="003E6991"/>
    <w:rsid w:val="003E6C8A"/>
    <w:rsid w:val="003E6E56"/>
    <w:rsid w:val="003E6E79"/>
    <w:rsid w:val="003E6E8B"/>
    <w:rsid w:val="003E7240"/>
    <w:rsid w:val="003E7500"/>
    <w:rsid w:val="003E7526"/>
    <w:rsid w:val="003E7557"/>
    <w:rsid w:val="003E75AE"/>
    <w:rsid w:val="003E7712"/>
    <w:rsid w:val="003E7828"/>
    <w:rsid w:val="003E7834"/>
    <w:rsid w:val="003E7B2C"/>
    <w:rsid w:val="003E7BB9"/>
    <w:rsid w:val="003E7C13"/>
    <w:rsid w:val="003E7C76"/>
    <w:rsid w:val="003F0000"/>
    <w:rsid w:val="003F031E"/>
    <w:rsid w:val="003F0B96"/>
    <w:rsid w:val="003F174E"/>
    <w:rsid w:val="003F2174"/>
    <w:rsid w:val="003F3407"/>
    <w:rsid w:val="003F3535"/>
    <w:rsid w:val="003F35DA"/>
    <w:rsid w:val="003F3876"/>
    <w:rsid w:val="003F3FC7"/>
    <w:rsid w:val="003F43E7"/>
    <w:rsid w:val="003F4789"/>
    <w:rsid w:val="003F4E90"/>
    <w:rsid w:val="003F554A"/>
    <w:rsid w:val="003F597A"/>
    <w:rsid w:val="003F5A78"/>
    <w:rsid w:val="003F5D9C"/>
    <w:rsid w:val="003F60E0"/>
    <w:rsid w:val="003F6291"/>
    <w:rsid w:val="003F6DCB"/>
    <w:rsid w:val="003F7288"/>
    <w:rsid w:val="003F74F0"/>
    <w:rsid w:val="003F75C6"/>
    <w:rsid w:val="00400B6E"/>
    <w:rsid w:val="00400DEC"/>
    <w:rsid w:val="00400E78"/>
    <w:rsid w:val="004012F8"/>
    <w:rsid w:val="004013EE"/>
    <w:rsid w:val="00401AE0"/>
    <w:rsid w:val="00401B74"/>
    <w:rsid w:val="004022B6"/>
    <w:rsid w:val="00402B82"/>
    <w:rsid w:val="00402BE4"/>
    <w:rsid w:val="00403784"/>
    <w:rsid w:val="0040382E"/>
    <w:rsid w:val="00403A5E"/>
    <w:rsid w:val="00403BC9"/>
    <w:rsid w:val="00403C38"/>
    <w:rsid w:val="00404F95"/>
    <w:rsid w:val="0040549E"/>
    <w:rsid w:val="0040560C"/>
    <w:rsid w:val="004058F3"/>
    <w:rsid w:val="00405CB7"/>
    <w:rsid w:val="00405FE3"/>
    <w:rsid w:val="00406680"/>
    <w:rsid w:val="00406F5A"/>
    <w:rsid w:val="00407383"/>
    <w:rsid w:val="00407AE8"/>
    <w:rsid w:val="00407B61"/>
    <w:rsid w:val="004106E8"/>
    <w:rsid w:val="00410E06"/>
    <w:rsid w:val="00410EDC"/>
    <w:rsid w:val="00410F97"/>
    <w:rsid w:val="004113C3"/>
    <w:rsid w:val="00411690"/>
    <w:rsid w:val="00411E68"/>
    <w:rsid w:val="00412570"/>
    <w:rsid w:val="004127D4"/>
    <w:rsid w:val="004128B7"/>
    <w:rsid w:val="004129D7"/>
    <w:rsid w:val="00413587"/>
    <w:rsid w:val="00413F00"/>
    <w:rsid w:val="004148EA"/>
    <w:rsid w:val="00414A49"/>
    <w:rsid w:val="00414E61"/>
    <w:rsid w:val="004153EB"/>
    <w:rsid w:val="004157A2"/>
    <w:rsid w:val="00415BC4"/>
    <w:rsid w:val="00415C13"/>
    <w:rsid w:val="0041613C"/>
    <w:rsid w:val="004167FB"/>
    <w:rsid w:val="00416C46"/>
    <w:rsid w:val="00416F0B"/>
    <w:rsid w:val="004177D8"/>
    <w:rsid w:val="004179A5"/>
    <w:rsid w:val="00417BDE"/>
    <w:rsid w:val="004204C3"/>
    <w:rsid w:val="00420568"/>
    <w:rsid w:val="00420B70"/>
    <w:rsid w:val="004211AD"/>
    <w:rsid w:val="00421D1F"/>
    <w:rsid w:val="00421D7F"/>
    <w:rsid w:val="00422365"/>
    <w:rsid w:val="00422594"/>
    <w:rsid w:val="0042282A"/>
    <w:rsid w:val="0042284A"/>
    <w:rsid w:val="00422E0B"/>
    <w:rsid w:val="004234FE"/>
    <w:rsid w:val="00423563"/>
    <w:rsid w:val="00423788"/>
    <w:rsid w:val="00424FAB"/>
    <w:rsid w:val="00425369"/>
    <w:rsid w:val="00425810"/>
    <w:rsid w:val="0042587C"/>
    <w:rsid w:val="00426288"/>
    <w:rsid w:val="00426573"/>
    <w:rsid w:val="004267E2"/>
    <w:rsid w:val="00427C82"/>
    <w:rsid w:val="00427CC1"/>
    <w:rsid w:val="00430BF1"/>
    <w:rsid w:val="00430FF3"/>
    <w:rsid w:val="0043140A"/>
    <w:rsid w:val="00431650"/>
    <w:rsid w:val="00431CE0"/>
    <w:rsid w:val="00431E4B"/>
    <w:rsid w:val="00432A6F"/>
    <w:rsid w:val="00432E59"/>
    <w:rsid w:val="004339B8"/>
    <w:rsid w:val="00433A1A"/>
    <w:rsid w:val="00433F12"/>
    <w:rsid w:val="00434CDE"/>
    <w:rsid w:val="00435F80"/>
    <w:rsid w:val="00435FCB"/>
    <w:rsid w:val="00436B0D"/>
    <w:rsid w:val="00436C55"/>
    <w:rsid w:val="00436E28"/>
    <w:rsid w:val="004372CD"/>
    <w:rsid w:val="004379FE"/>
    <w:rsid w:val="0044064D"/>
    <w:rsid w:val="0044137C"/>
    <w:rsid w:val="004419A2"/>
    <w:rsid w:val="004423BB"/>
    <w:rsid w:val="00442521"/>
    <w:rsid w:val="00442683"/>
    <w:rsid w:val="00442EE1"/>
    <w:rsid w:val="00442F6C"/>
    <w:rsid w:val="00443857"/>
    <w:rsid w:val="004439B3"/>
    <w:rsid w:val="00443BB9"/>
    <w:rsid w:val="00443F41"/>
    <w:rsid w:val="00444C69"/>
    <w:rsid w:val="00444CB9"/>
    <w:rsid w:val="00444F77"/>
    <w:rsid w:val="00445075"/>
    <w:rsid w:val="004450D2"/>
    <w:rsid w:val="00445941"/>
    <w:rsid w:val="00445972"/>
    <w:rsid w:val="00445D65"/>
    <w:rsid w:val="00445F82"/>
    <w:rsid w:val="00446955"/>
    <w:rsid w:val="00446A2F"/>
    <w:rsid w:val="004472E7"/>
    <w:rsid w:val="004473CD"/>
    <w:rsid w:val="00447C96"/>
    <w:rsid w:val="00447CDC"/>
    <w:rsid w:val="00450497"/>
    <w:rsid w:val="00450564"/>
    <w:rsid w:val="00450724"/>
    <w:rsid w:val="0045139A"/>
    <w:rsid w:val="00451597"/>
    <w:rsid w:val="004515B1"/>
    <w:rsid w:val="00451FDB"/>
    <w:rsid w:val="004520D8"/>
    <w:rsid w:val="004523F7"/>
    <w:rsid w:val="00453B5C"/>
    <w:rsid w:val="004542FD"/>
    <w:rsid w:val="0045448C"/>
    <w:rsid w:val="004548FE"/>
    <w:rsid w:val="00454E1F"/>
    <w:rsid w:val="004554A0"/>
    <w:rsid w:val="0045582A"/>
    <w:rsid w:val="00456CBC"/>
    <w:rsid w:val="00456F2C"/>
    <w:rsid w:val="00457405"/>
    <w:rsid w:val="004603A9"/>
    <w:rsid w:val="00460551"/>
    <w:rsid w:val="004606B2"/>
    <w:rsid w:val="004616C8"/>
    <w:rsid w:val="0046192F"/>
    <w:rsid w:val="00461ACC"/>
    <w:rsid w:val="004621BF"/>
    <w:rsid w:val="00462226"/>
    <w:rsid w:val="004624B5"/>
    <w:rsid w:val="004625E4"/>
    <w:rsid w:val="004626AD"/>
    <w:rsid w:val="0046280B"/>
    <w:rsid w:val="00463616"/>
    <w:rsid w:val="004636DA"/>
    <w:rsid w:val="00463732"/>
    <w:rsid w:val="004642B7"/>
    <w:rsid w:val="004649B9"/>
    <w:rsid w:val="00465051"/>
    <w:rsid w:val="0046521D"/>
    <w:rsid w:val="004652EE"/>
    <w:rsid w:val="00465BC8"/>
    <w:rsid w:val="00465F1E"/>
    <w:rsid w:val="004662B7"/>
    <w:rsid w:val="004669C3"/>
    <w:rsid w:val="004672A8"/>
    <w:rsid w:val="004672E3"/>
    <w:rsid w:val="00467AE2"/>
    <w:rsid w:val="00467AE7"/>
    <w:rsid w:val="00470591"/>
    <w:rsid w:val="00470981"/>
    <w:rsid w:val="004713DE"/>
    <w:rsid w:val="00471B63"/>
    <w:rsid w:val="004720B7"/>
    <w:rsid w:val="004728E4"/>
    <w:rsid w:val="00473125"/>
    <w:rsid w:val="004746F9"/>
    <w:rsid w:val="0047486F"/>
    <w:rsid w:val="00475661"/>
    <w:rsid w:val="0047566C"/>
    <w:rsid w:val="004756A1"/>
    <w:rsid w:val="004756BA"/>
    <w:rsid w:val="004756EF"/>
    <w:rsid w:val="00475C81"/>
    <w:rsid w:val="00475FD6"/>
    <w:rsid w:val="00476349"/>
    <w:rsid w:val="00477599"/>
    <w:rsid w:val="0047785E"/>
    <w:rsid w:val="00477ABB"/>
    <w:rsid w:val="00477BAA"/>
    <w:rsid w:val="00477FCE"/>
    <w:rsid w:val="0048008B"/>
    <w:rsid w:val="0048096D"/>
    <w:rsid w:val="004809CF"/>
    <w:rsid w:val="00480DE5"/>
    <w:rsid w:val="00481311"/>
    <w:rsid w:val="004818DA"/>
    <w:rsid w:val="004819C4"/>
    <w:rsid w:val="004819EA"/>
    <w:rsid w:val="00481EE7"/>
    <w:rsid w:val="004826C0"/>
    <w:rsid w:val="00482A68"/>
    <w:rsid w:val="00483918"/>
    <w:rsid w:val="004841FF"/>
    <w:rsid w:val="00484414"/>
    <w:rsid w:val="004844E3"/>
    <w:rsid w:val="00484975"/>
    <w:rsid w:val="00484E7E"/>
    <w:rsid w:val="00485CF5"/>
    <w:rsid w:val="00485E29"/>
    <w:rsid w:val="004867BC"/>
    <w:rsid w:val="00486A2D"/>
    <w:rsid w:val="00487349"/>
    <w:rsid w:val="00487999"/>
    <w:rsid w:val="00487DA5"/>
    <w:rsid w:val="004909EF"/>
    <w:rsid w:val="00490BFC"/>
    <w:rsid w:val="00491ADB"/>
    <w:rsid w:val="0049295A"/>
    <w:rsid w:val="00493210"/>
    <w:rsid w:val="004933C1"/>
    <w:rsid w:val="00493468"/>
    <w:rsid w:val="00493E84"/>
    <w:rsid w:val="004940F4"/>
    <w:rsid w:val="0049463F"/>
    <w:rsid w:val="00494D67"/>
    <w:rsid w:val="00494F42"/>
    <w:rsid w:val="0049525A"/>
    <w:rsid w:val="00495A0F"/>
    <w:rsid w:val="00495DAD"/>
    <w:rsid w:val="00495DB6"/>
    <w:rsid w:val="00496C35"/>
    <w:rsid w:val="0049759A"/>
    <w:rsid w:val="00497662"/>
    <w:rsid w:val="00497B18"/>
    <w:rsid w:val="00497B1D"/>
    <w:rsid w:val="00497C65"/>
    <w:rsid w:val="00497C96"/>
    <w:rsid w:val="00497E4F"/>
    <w:rsid w:val="004A018B"/>
    <w:rsid w:val="004A0623"/>
    <w:rsid w:val="004A0A60"/>
    <w:rsid w:val="004A0C3B"/>
    <w:rsid w:val="004A0CDA"/>
    <w:rsid w:val="004A181E"/>
    <w:rsid w:val="004A1905"/>
    <w:rsid w:val="004A1A9C"/>
    <w:rsid w:val="004A1F58"/>
    <w:rsid w:val="004A21F9"/>
    <w:rsid w:val="004A235F"/>
    <w:rsid w:val="004A2591"/>
    <w:rsid w:val="004A2AE0"/>
    <w:rsid w:val="004A2FCC"/>
    <w:rsid w:val="004A4031"/>
    <w:rsid w:val="004A4A5D"/>
    <w:rsid w:val="004A4D52"/>
    <w:rsid w:val="004A4FF4"/>
    <w:rsid w:val="004A5DCD"/>
    <w:rsid w:val="004A70E2"/>
    <w:rsid w:val="004A77CE"/>
    <w:rsid w:val="004A77D2"/>
    <w:rsid w:val="004A7B8B"/>
    <w:rsid w:val="004A7C60"/>
    <w:rsid w:val="004B0655"/>
    <w:rsid w:val="004B0882"/>
    <w:rsid w:val="004B09FB"/>
    <w:rsid w:val="004B0BA4"/>
    <w:rsid w:val="004B0C41"/>
    <w:rsid w:val="004B189E"/>
    <w:rsid w:val="004B2483"/>
    <w:rsid w:val="004B28AB"/>
    <w:rsid w:val="004B293B"/>
    <w:rsid w:val="004B2F59"/>
    <w:rsid w:val="004B3889"/>
    <w:rsid w:val="004B3DAA"/>
    <w:rsid w:val="004B3F31"/>
    <w:rsid w:val="004B4662"/>
    <w:rsid w:val="004B4778"/>
    <w:rsid w:val="004B47C3"/>
    <w:rsid w:val="004B4806"/>
    <w:rsid w:val="004B4AE6"/>
    <w:rsid w:val="004B4EC7"/>
    <w:rsid w:val="004B4EE2"/>
    <w:rsid w:val="004B5390"/>
    <w:rsid w:val="004B53E4"/>
    <w:rsid w:val="004B57B2"/>
    <w:rsid w:val="004B58F0"/>
    <w:rsid w:val="004B5D54"/>
    <w:rsid w:val="004B6691"/>
    <w:rsid w:val="004B6C4E"/>
    <w:rsid w:val="004B7698"/>
    <w:rsid w:val="004B772D"/>
    <w:rsid w:val="004B7AA9"/>
    <w:rsid w:val="004B7F38"/>
    <w:rsid w:val="004C0255"/>
    <w:rsid w:val="004C06FA"/>
    <w:rsid w:val="004C0DA9"/>
    <w:rsid w:val="004C0E6F"/>
    <w:rsid w:val="004C2698"/>
    <w:rsid w:val="004C2FAA"/>
    <w:rsid w:val="004C3036"/>
    <w:rsid w:val="004C3447"/>
    <w:rsid w:val="004C34FE"/>
    <w:rsid w:val="004C3532"/>
    <w:rsid w:val="004C3708"/>
    <w:rsid w:val="004C3EB6"/>
    <w:rsid w:val="004C40D7"/>
    <w:rsid w:val="004C42CA"/>
    <w:rsid w:val="004C5414"/>
    <w:rsid w:val="004C55CC"/>
    <w:rsid w:val="004C56E7"/>
    <w:rsid w:val="004C5C85"/>
    <w:rsid w:val="004C5D54"/>
    <w:rsid w:val="004C5DE3"/>
    <w:rsid w:val="004C5DEA"/>
    <w:rsid w:val="004C6277"/>
    <w:rsid w:val="004C6E0D"/>
    <w:rsid w:val="004C7612"/>
    <w:rsid w:val="004C7B72"/>
    <w:rsid w:val="004C7F49"/>
    <w:rsid w:val="004D03D7"/>
    <w:rsid w:val="004D0A44"/>
    <w:rsid w:val="004D0E70"/>
    <w:rsid w:val="004D1301"/>
    <w:rsid w:val="004D142E"/>
    <w:rsid w:val="004D15D8"/>
    <w:rsid w:val="004D1621"/>
    <w:rsid w:val="004D236E"/>
    <w:rsid w:val="004D24DA"/>
    <w:rsid w:val="004D257C"/>
    <w:rsid w:val="004D2FAC"/>
    <w:rsid w:val="004D3D73"/>
    <w:rsid w:val="004D426A"/>
    <w:rsid w:val="004D4AE9"/>
    <w:rsid w:val="004D520B"/>
    <w:rsid w:val="004D5387"/>
    <w:rsid w:val="004D5492"/>
    <w:rsid w:val="004D583B"/>
    <w:rsid w:val="004D5889"/>
    <w:rsid w:val="004D5BAC"/>
    <w:rsid w:val="004D603B"/>
    <w:rsid w:val="004D6EDA"/>
    <w:rsid w:val="004D703D"/>
    <w:rsid w:val="004D737B"/>
    <w:rsid w:val="004D7508"/>
    <w:rsid w:val="004D7BB4"/>
    <w:rsid w:val="004D7CDF"/>
    <w:rsid w:val="004E034D"/>
    <w:rsid w:val="004E0617"/>
    <w:rsid w:val="004E0B93"/>
    <w:rsid w:val="004E1539"/>
    <w:rsid w:val="004E1A9D"/>
    <w:rsid w:val="004E2204"/>
    <w:rsid w:val="004E221E"/>
    <w:rsid w:val="004E253B"/>
    <w:rsid w:val="004E2BC1"/>
    <w:rsid w:val="004E2C57"/>
    <w:rsid w:val="004E3821"/>
    <w:rsid w:val="004E3A72"/>
    <w:rsid w:val="004E3AA2"/>
    <w:rsid w:val="004E3EC6"/>
    <w:rsid w:val="004E4BDF"/>
    <w:rsid w:val="004E59DA"/>
    <w:rsid w:val="004E6817"/>
    <w:rsid w:val="004E7061"/>
    <w:rsid w:val="004E71B3"/>
    <w:rsid w:val="004E7D62"/>
    <w:rsid w:val="004F0255"/>
    <w:rsid w:val="004F0466"/>
    <w:rsid w:val="004F067A"/>
    <w:rsid w:val="004F070D"/>
    <w:rsid w:val="004F0D57"/>
    <w:rsid w:val="004F114E"/>
    <w:rsid w:val="004F1313"/>
    <w:rsid w:val="004F13E3"/>
    <w:rsid w:val="004F14A9"/>
    <w:rsid w:val="004F1517"/>
    <w:rsid w:val="004F155B"/>
    <w:rsid w:val="004F2A22"/>
    <w:rsid w:val="004F311C"/>
    <w:rsid w:val="004F3297"/>
    <w:rsid w:val="004F364D"/>
    <w:rsid w:val="004F375F"/>
    <w:rsid w:val="004F3D82"/>
    <w:rsid w:val="004F3E4E"/>
    <w:rsid w:val="004F4EC7"/>
    <w:rsid w:val="004F5470"/>
    <w:rsid w:val="004F55EA"/>
    <w:rsid w:val="004F58C8"/>
    <w:rsid w:val="004F5FD6"/>
    <w:rsid w:val="004F73B3"/>
    <w:rsid w:val="004F73C7"/>
    <w:rsid w:val="004F77C7"/>
    <w:rsid w:val="004F781C"/>
    <w:rsid w:val="004F7B02"/>
    <w:rsid w:val="00500513"/>
    <w:rsid w:val="005008CA"/>
    <w:rsid w:val="005011F1"/>
    <w:rsid w:val="00501261"/>
    <w:rsid w:val="005016E0"/>
    <w:rsid w:val="00501791"/>
    <w:rsid w:val="00501EE6"/>
    <w:rsid w:val="005023E9"/>
    <w:rsid w:val="00502420"/>
    <w:rsid w:val="005028FF"/>
    <w:rsid w:val="00502CB6"/>
    <w:rsid w:val="00502FCA"/>
    <w:rsid w:val="00503249"/>
    <w:rsid w:val="00503527"/>
    <w:rsid w:val="00503747"/>
    <w:rsid w:val="00503D11"/>
    <w:rsid w:val="0050448B"/>
    <w:rsid w:val="00504ACD"/>
    <w:rsid w:val="0050507B"/>
    <w:rsid w:val="005058E2"/>
    <w:rsid w:val="00505922"/>
    <w:rsid w:val="00505BC9"/>
    <w:rsid w:val="00505C34"/>
    <w:rsid w:val="00505EB6"/>
    <w:rsid w:val="00505F70"/>
    <w:rsid w:val="005064CD"/>
    <w:rsid w:val="00506794"/>
    <w:rsid w:val="0050696C"/>
    <w:rsid w:val="005069ED"/>
    <w:rsid w:val="00506A5A"/>
    <w:rsid w:val="00506F26"/>
    <w:rsid w:val="00506FCB"/>
    <w:rsid w:val="0051008E"/>
    <w:rsid w:val="0051017F"/>
    <w:rsid w:val="00510351"/>
    <w:rsid w:val="0051041B"/>
    <w:rsid w:val="00510486"/>
    <w:rsid w:val="00510BA5"/>
    <w:rsid w:val="00511472"/>
    <w:rsid w:val="0051190F"/>
    <w:rsid w:val="00511F9F"/>
    <w:rsid w:val="00512E1A"/>
    <w:rsid w:val="005135B4"/>
    <w:rsid w:val="00513607"/>
    <w:rsid w:val="00513B86"/>
    <w:rsid w:val="00513F48"/>
    <w:rsid w:val="005143BF"/>
    <w:rsid w:val="00514616"/>
    <w:rsid w:val="00514795"/>
    <w:rsid w:val="00514BD7"/>
    <w:rsid w:val="00514FB0"/>
    <w:rsid w:val="0051555E"/>
    <w:rsid w:val="0051599C"/>
    <w:rsid w:val="00516292"/>
    <w:rsid w:val="00516FC7"/>
    <w:rsid w:val="005173BD"/>
    <w:rsid w:val="005176F8"/>
    <w:rsid w:val="0051779A"/>
    <w:rsid w:val="00517B17"/>
    <w:rsid w:val="005204C5"/>
    <w:rsid w:val="0052092C"/>
    <w:rsid w:val="00520EA3"/>
    <w:rsid w:val="00521BFB"/>
    <w:rsid w:val="00521F8D"/>
    <w:rsid w:val="0052226E"/>
    <w:rsid w:val="00522371"/>
    <w:rsid w:val="005227B3"/>
    <w:rsid w:val="00523095"/>
    <w:rsid w:val="00523320"/>
    <w:rsid w:val="00523BA2"/>
    <w:rsid w:val="00523BD2"/>
    <w:rsid w:val="005246EB"/>
    <w:rsid w:val="00524D1F"/>
    <w:rsid w:val="00525096"/>
    <w:rsid w:val="005258F8"/>
    <w:rsid w:val="0052667F"/>
    <w:rsid w:val="00526769"/>
    <w:rsid w:val="005273BC"/>
    <w:rsid w:val="00527678"/>
    <w:rsid w:val="00527CCB"/>
    <w:rsid w:val="0053004A"/>
    <w:rsid w:val="0053036F"/>
    <w:rsid w:val="005310BA"/>
    <w:rsid w:val="0053140F"/>
    <w:rsid w:val="005317CF"/>
    <w:rsid w:val="00531F8F"/>
    <w:rsid w:val="0053206A"/>
    <w:rsid w:val="00533C17"/>
    <w:rsid w:val="0053401E"/>
    <w:rsid w:val="0053451D"/>
    <w:rsid w:val="00534617"/>
    <w:rsid w:val="005346BD"/>
    <w:rsid w:val="00534CF6"/>
    <w:rsid w:val="00534EBE"/>
    <w:rsid w:val="0053536D"/>
    <w:rsid w:val="005353E9"/>
    <w:rsid w:val="00535752"/>
    <w:rsid w:val="00535CEC"/>
    <w:rsid w:val="00535E33"/>
    <w:rsid w:val="00537916"/>
    <w:rsid w:val="00537995"/>
    <w:rsid w:val="00540AAE"/>
    <w:rsid w:val="00540D84"/>
    <w:rsid w:val="00540F6C"/>
    <w:rsid w:val="00541782"/>
    <w:rsid w:val="00541982"/>
    <w:rsid w:val="00541AF0"/>
    <w:rsid w:val="00542AC5"/>
    <w:rsid w:val="00542BD3"/>
    <w:rsid w:val="005436CD"/>
    <w:rsid w:val="00543D65"/>
    <w:rsid w:val="00544265"/>
    <w:rsid w:val="00544393"/>
    <w:rsid w:val="00544424"/>
    <w:rsid w:val="0054455E"/>
    <w:rsid w:val="0054457C"/>
    <w:rsid w:val="0054462B"/>
    <w:rsid w:val="00544BD6"/>
    <w:rsid w:val="0054522C"/>
    <w:rsid w:val="0054548B"/>
    <w:rsid w:val="00545D24"/>
    <w:rsid w:val="00545E0D"/>
    <w:rsid w:val="00545E92"/>
    <w:rsid w:val="00547133"/>
    <w:rsid w:val="005474AF"/>
    <w:rsid w:val="00547E8D"/>
    <w:rsid w:val="005503D8"/>
    <w:rsid w:val="0055046A"/>
    <w:rsid w:val="00550843"/>
    <w:rsid w:val="005508C4"/>
    <w:rsid w:val="00550ACE"/>
    <w:rsid w:val="00550CC1"/>
    <w:rsid w:val="00550FC6"/>
    <w:rsid w:val="00551259"/>
    <w:rsid w:val="005515BF"/>
    <w:rsid w:val="0055178B"/>
    <w:rsid w:val="005517CE"/>
    <w:rsid w:val="00551A36"/>
    <w:rsid w:val="005521A0"/>
    <w:rsid w:val="00552477"/>
    <w:rsid w:val="005524FD"/>
    <w:rsid w:val="005529BD"/>
    <w:rsid w:val="00552CCE"/>
    <w:rsid w:val="00553737"/>
    <w:rsid w:val="005540F2"/>
    <w:rsid w:val="0055576C"/>
    <w:rsid w:val="00556739"/>
    <w:rsid w:val="00556E86"/>
    <w:rsid w:val="00557939"/>
    <w:rsid w:val="00557CAA"/>
    <w:rsid w:val="00557E5D"/>
    <w:rsid w:val="00560213"/>
    <w:rsid w:val="005602A2"/>
    <w:rsid w:val="00560506"/>
    <w:rsid w:val="00561151"/>
    <w:rsid w:val="00561667"/>
    <w:rsid w:val="00561813"/>
    <w:rsid w:val="00561E8A"/>
    <w:rsid w:val="00561F68"/>
    <w:rsid w:val="005621E6"/>
    <w:rsid w:val="005623C0"/>
    <w:rsid w:val="0056263F"/>
    <w:rsid w:val="0056322C"/>
    <w:rsid w:val="00563744"/>
    <w:rsid w:val="005637BF"/>
    <w:rsid w:val="00563AFD"/>
    <w:rsid w:val="00563F17"/>
    <w:rsid w:val="005642CB"/>
    <w:rsid w:val="0056460C"/>
    <w:rsid w:val="0056484E"/>
    <w:rsid w:val="00564EFA"/>
    <w:rsid w:val="005653FD"/>
    <w:rsid w:val="00565A11"/>
    <w:rsid w:val="00565E97"/>
    <w:rsid w:val="005667C2"/>
    <w:rsid w:val="005667D9"/>
    <w:rsid w:val="0056737A"/>
    <w:rsid w:val="00567C79"/>
    <w:rsid w:val="00570336"/>
    <w:rsid w:val="00570804"/>
    <w:rsid w:val="00570B78"/>
    <w:rsid w:val="00571314"/>
    <w:rsid w:val="00571732"/>
    <w:rsid w:val="00571B6D"/>
    <w:rsid w:val="00571C8A"/>
    <w:rsid w:val="00571F00"/>
    <w:rsid w:val="0057214A"/>
    <w:rsid w:val="0057293E"/>
    <w:rsid w:val="00572A53"/>
    <w:rsid w:val="00572AB6"/>
    <w:rsid w:val="00573131"/>
    <w:rsid w:val="00573246"/>
    <w:rsid w:val="00573435"/>
    <w:rsid w:val="005738A2"/>
    <w:rsid w:val="00573E81"/>
    <w:rsid w:val="00574B0A"/>
    <w:rsid w:val="0057506E"/>
    <w:rsid w:val="005752F7"/>
    <w:rsid w:val="005753CA"/>
    <w:rsid w:val="00575429"/>
    <w:rsid w:val="00575918"/>
    <w:rsid w:val="0057676D"/>
    <w:rsid w:val="005768B4"/>
    <w:rsid w:val="00576ABB"/>
    <w:rsid w:val="005772C1"/>
    <w:rsid w:val="00577AB1"/>
    <w:rsid w:val="0058072B"/>
    <w:rsid w:val="00581085"/>
    <w:rsid w:val="00581620"/>
    <w:rsid w:val="00581778"/>
    <w:rsid w:val="00581C55"/>
    <w:rsid w:val="005827F7"/>
    <w:rsid w:val="00582D50"/>
    <w:rsid w:val="00583A58"/>
    <w:rsid w:val="00584CAD"/>
    <w:rsid w:val="00585268"/>
    <w:rsid w:val="005858DC"/>
    <w:rsid w:val="005859C2"/>
    <w:rsid w:val="00585C19"/>
    <w:rsid w:val="00586A92"/>
    <w:rsid w:val="00587591"/>
    <w:rsid w:val="00587601"/>
    <w:rsid w:val="00587CB6"/>
    <w:rsid w:val="00587EFE"/>
    <w:rsid w:val="00590267"/>
    <w:rsid w:val="00590416"/>
    <w:rsid w:val="005905F0"/>
    <w:rsid w:val="00590B9D"/>
    <w:rsid w:val="00590F01"/>
    <w:rsid w:val="005914DB"/>
    <w:rsid w:val="00591560"/>
    <w:rsid w:val="0059169D"/>
    <w:rsid w:val="00591A1B"/>
    <w:rsid w:val="0059206A"/>
    <w:rsid w:val="00592132"/>
    <w:rsid w:val="00592269"/>
    <w:rsid w:val="00592588"/>
    <w:rsid w:val="00592C6D"/>
    <w:rsid w:val="00593371"/>
    <w:rsid w:val="005933B5"/>
    <w:rsid w:val="00593725"/>
    <w:rsid w:val="00593E74"/>
    <w:rsid w:val="00593F2C"/>
    <w:rsid w:val="005941B0"/>
    <w:rsid w:val="005942B8"/>
    <w:rsid w:val="0059432A"/>
    <w:rsid w:val="005948DB"/>
    <w:rsid w:val="00594DF6"/>
    <w:rsid w:val="00594F2D"/>
    <w:rsid w:val="00594FD1"/>
    <w:rsid w:val="00595AC1"/>
    <w:rsid w:val="005965F3"/>
    <w:rsid w:val="00596844"/>
    <w:rsid w:val="00596E3B"/>
    <w:rsid w:val="005974A7"/>
    <w:rsid w:val="0059750C"/>
    <w:rsid w:val="0059771C"/>
    <w:rsid w:val="005A08DE"/>
    <w:rsid w:val="005A092F"/>
    <w:rsid w:val="005A0AAC"/>
    <w:rsid w:val="005A0E96"/>
    <w:rsid w:val="005A0ED9"/>
    <w:rsid w:val="005A140B"/>
    <w:rsid w:val="005A19BC"/>
    <w:rsid w:val="005A1CBC"/>
    <w:rsid w:val="005A2015"/>
    <w:rsid w:val="005A2020"/>
    <w:rsid w:val="005A25AC"/>
    <w:rsid w:val="005A2A40"/>
    <w:rsid w:val="005A3464"/>
    <w:rsid w:val="005A3874"/>
    <w:rsid w:val="005A43CB"/>
    <w:rsid w:val="005A47F2"/>
    <w:rsid w:val="005A4DED"/>
    <w:rsid w:val="005A50D4"/>
    <w:rsid w:val="005A5412"/>
    <w:rsid w:val="005A547F"/>
    <w:rsid w:val="005A5A05"/>
    <w:rsid w:val="005A5CD8"/>
    <w:rsid w:val="005A5DBC"/>
    <w:rsid w:val="005A600E"/>
    <w:rsid w:val="005A63EE"/>
    <w:rsid w:val="005A6AEB"/>
    <w:rsid w:val="005A6B8F"/>
    <w:rsid w:val="005A6E3D"/>
    <w:rsid w:val="005A6FC5"/>
    <w:rsid w:val="005A7421"/>
    <w:rsid w:val="005A799E"/>
    <w:rsid w:val="005A79AC"/>
    <w:rsid w:val="005A7AD6"/>
    <w:rsid w:val="005A7CE6"/>
    <w:rsid w:val="005B03A9"/>
    <w:rsid w:val="005B0535"/>
    <w:rsid w:val="005B0963"/>
    <w:rsid w:val="005B0D9F"/>
    <w:rsid w:val="005B0F7B"/>
    <w:rsid w:val="005B156F"/>
    <w:rsid w:val="005B18B4"/>
    <w:rsid w:val="005B23D8"/>
    <w:rsid w:val="005B241C"/>
    <w:rsid w:val="005B2423"/>
    <w:rsid w:val="005B28A4"/>
    <w:rsid w:val="005B2A73"/>
    <w:rsid w:val="005B2D13"/>
    <w:rsid w:val="005B30C8"/>
    <w:rsid w:val="005B3FE5"/>
    <w:rsid w:val="005B40BE"/>
    <w:rsid w:val="005B440D"/>
    <w:rsid w:val="005B4D39"/>
    <w:rsid w:val="005B50CE"/>
    <w:rsid w:val="005B53E1"/>
    <w:rsid w:val="005B5587"/>
    <w:rsid w:val="005B5C40"/>
    <w:rsid w:val="005B5CFE"/>
    <w:rsid w:val="005B5DAD"/>
    <w:rsid w:val="005B5F33"/>
    <w:rsid w:val="005B624B"/>
    <w:rsid w:val="005B6D23"/>
    <w:rsid w:val="005B6D56"/>
    <w:rsid w:val="005B6EB5"/>
    <w:rsid w:val="005B7037"/>
    <w:rsid w:val="005B72CF"/>
    <w:rsid w:val="005B7444"/>
    <w:rsid w:val="005B7B12"/>
    <w:rsid w:val="005C044A"/>
    <w:rsid w:val="005C056D"/>
    <w:rsid w:val="005C073F"/>
    <w:rsid w:val="005C0AF6"/>
    <w:rsid w:val="005C0D93"/>
    <w:rsid w:val="005C0FFE"/>
    <w:rsid w:val="005C173A"/>
    <w:rsid w:val="005C1A38"/>
    <w:rsid w:val="005C2153"/>
    <w:rsid w:val="005C23B8"/>
    <w:rsid w:val="005C2ACF"/>
    <w:rsid w:val="005C3605"/>
    <w:rsid w:val="005C44BD"/>
    <w:rsid w:val="005C4990"/>
    <w:rsid w:val="005C5675"/>
    <w:rsid w:val="005C5B47"/>
    <w:rsid w:val="005C5ED2"/>
    <w:rsid w:val="005C60E7"/>
    <w:rsid w:val="005C6F03"/>
    <w:rsid w:val="005C6F3F"/>
    <w:rsid w:val="005C7279"/>
    <w:rsid w:val="005C74A1"/>
    <w:rsid w:val="005C7500"/>
    <w:rsid w:val="005D0407"/>
    <w:rsid w:val="005D0A92"/>
    <w:rsid w:val="005D0C5F"/>
    <w:rsid w:val="005D0E26"/>
    <w:rsid w:val="005D129D"/>
    <w:rsid w:val="005D1622"/>
    <w:rsid w:val="005D1D97"/>
    <w:rsid w:val="005D2536"/>
    <w:rsid w:val="005D2593"/>
    <w:rsid w:val="005D2CE1"/>
    <w:rsid w:val="005D2EAC"/>
    <w:rsid w:val="005D306C"/>
    <w:rsid w:val="005D3795"/>
    <w:rsid w:val="005D39E3"/>
    <w:rsid w:val="005D3CA1"/>
    <w:rsid w:val="005D4825"/>
    <w:rsid w:val="005D4D2A"/>
    <w:rsid w:val="005D557C"/>
    <w:rsid w:val="005D6400"/>
    <w:rsid w:val="005D6456"/>
    <w:rsid w:val="005D651E"/>
    <w:rsid w:val="005D65E4"/>
    <w:rsid w:val="005D695F"/>
    <w:rsid w:val="005D6B3F"/>
    <w:rsid w:val="005D711E"/>
    <w:rsid w:val="005D76FA"/>
    <w:rsid w:val="005D7A2F"/>
    <w:rsid w:val="005D7F92"/>
    <w:rsid w:val="005E01B9"/>
    <w:rsid w:val="005E1C20"/>
    <w:rsid w:val="005E222A"/>
    <w:rsid w:val="005E24AC"/>
    <w:rsid w:val="005E2D15"/>
    <w:rsid w:val="005E2D9D"/>
    <w:rsid w:val="005E3B5D"/>
    <w:rsid w:val="005E3F79"/>
    <w:rsid w:val="005E42AF"/>
    <w:rsid w:val="005E45F4"/>
    <w:rsid w:val="005E46AC"/>
    <w:rsid w:val="005E47BB"/>
    <w:rsid w:val="005E4CDA"/>
    <w:rsid w:val="005E592E"/>
    <w:rsid w:val="005E5A32"/>
    <w:rsid w:val="005E5FEE"/>
    <w:rsid w:val="005E6B5F"/>
    <w:rsid w:val="005E6DCA"/>
    <w:rsid w:val="005E7ECE"/>
    <w:rsid w:val="005F0E74"/>
    <w:rsid w:val="005F0FB1"/>
    <w:rsid w:val="005F11CE"/>
    <w:rsid w:val="005F11ED"/>
    <w:rsid w:val="005F12AE"/>
    <w:rsid w:val="005F1448"/>
    <w:rsid w:val="005F18A0"/>
    <w:rsid w:val="005F19DE"/>
    <w:rsid w:val="005F255B"/>
    <w:rsid w:val="005F360B"/>
    <w:rsid w:val="005F3EB6"/>
    <w:rsid w:val="005F405E"/>
    <w:rsid w:val="005F40E2"/>
    <w:rsid w:val="005F4E6C"/>
    <w:rsid w:val="005F5689"/>
    <w:rsid w:val="005F5C8D"/>
    <w:rsid w:val="005F69FC"/>
    <w:rsid w:val="005F71BD"/>
    <w:rsid w:val="005F7E79"/>
    <w:rsid w:val="006008DF"/>
    <w:rsid w:val="0060107E"/>
    <w:rsid w:val="006012A2"/>
    <w:rsid w:val="006018B8"/>
    <w:rsid w:val="006019C3"/>
    <w:rsid w:val="006024C4"/>
    <w:rsid w:val="0060264E"/>
    <w:rsid w:val="00602734"/>
    <w:rsid w:val="0060319D"/>
    <w:rsid w:val="006031CC"/>
    <w:rsid w:val="006038A5"/>
    <w:rsid w:val="00603B7A"/>
    <w:rsid w:val="00603C1C"/>
    <w:rsid w:val="00603DEE"/>
    <w:rsid w:val="006040E7"/>
    <w:rsid w:val="006045C4"/>
    <w:rsid w:val="00605459"/>
    <w:rsid w:val="0060598F"/>
    <w:rsid w:val="006062A7"/>
    <w:rsid w:val="006065D9"/>
    <w:rsid w:val="0060688C"/>
    <w:rsid w:val="0060703E"/>
    <w:rsid w:val="00607274"/>
    <w:rsid w:val="006074C8"/>
    <w:rsid w:val="006076B3"/>
    <w:rsid w:val="006105C8"/>
    <w:rsid w:val="00610914"/>
    <w:rsid w:val="00610AB2"/>
    <w:rsid w:val="00610F6E"/>
    <w:rsid w:val="00611B4B"/>
    <w:rsid w:val="00611EF4"/>
    <w:rsid w:val="00612943"/>
    <w:rsid w:val="00612C16"/>
    <w:rsid w:val="006130AB"/>
    <w:rsid w:val="006135E0"/>
    <w:rsid w:val="00613ADE"/>
    <w:rsid w:val="006144D2"/>
    <w:rsid w:val="006145DD"/>
    <w:rsid w:val="00614710"/>
    <w:rsid w:val="00614722"/>
    <w:rsid w:val="006151BF"/>
    <w:rsid w:val="006152B3"/>
    <w:rsid w:val="006152C7"/>
    <w:rsid w:val="006152FC"/>
    <w:rsid w:val="006158CB"/>
    <w:rsid w:val="00615C49"/>
    <w:rsid w:val="00615E19"/>
    <w:rsid w:val="00616067"/>
    <w:rsid w:val="00616107"/>
    <w:rsid w:val="006163E8"/>
    <w:rsid w:val="006170E7"/>
    <w:rsid w:val="00617416"/>
    <w:rsid w:val="00617B81"/>
    <w:rsid w:val="00620452"/>
    <w:rsid w:val="00620A1B"/>
    <w:rsid w:val="00620AF4"/>
    <w:rsid w:val="00621D79"/>
    <w:rsid w:val="0062210D"/>
    <w:rsid w:val="00622517"/>
    <w:rsid w:val="00622C69"/>
    <w:rsid w:val="00622CAE"/>
    <w:rsid w:val="00622F2A"/>
    <w:rsid w:val="0062300C"/>
    <w:rsid w:val="0062318F"/>
    <w:rsid w:val="00623609"/>
    <w:rsid w:val="00623BD8"/>
    <w:rsid w:val="00623D52"/>
    <w:rsid w:val="00624329"/>
    <w:rsid w:val="00624338"/>
    <w:rsid w:val="006244D4"/>
    <w:rsid w:val="00624527"/>
    <w:rsid w:val="00624667"/>
    <w:rsid w:val="006249A4"/>
    <w:rsid w:val="00624DBC"/>
    <w:rsid w:val="00625DEC"/>
    <w:rsid w:val="00625ECB"/>
    <w:rsid w:val="0062639F"/>
    <w:rsid w:val="00626AE9"/>
    <w:rsid w:val="00626C90"/>
    <w:rsid w:val="00627C8D"/>
    <w:rsid w:val="00630297"/>
    <w:rsid w:val="00630BA2"/>
    <w:rsid w:val="00630BA4"/>
    <w:rsid w:val="00630BB3"/>
    <w:rsid w:val="00630D4D"/>
    <w:rsid w:val="00630D69"/>
    <w:rsid w:val="006310B1"/>
    <w:rsid w:val="00631216"/>
    <w:rsid w:val="00631856"/>
    <w:rsid w:val="00631BC6"/>
    <w:rsid w:val="00631E6A"/>
    <w:rsid w:val="00631E8C"/>
    <w:rsid w:val="00632BF5"/>
    <w:rsid w:val="00632D47"/>
    <w:rsid w:val="006337F7"/>
    <w:rsid w:val="0063383E"/>
    <w:rsid w:val="00633D2A"/>
    <w:rsid w:val="006343B9"/>
    <w:rsid w:val="00634446"/>
    <w:rsid w:val="00635987"/>
    <w:rsid w:val="00635A2F"/>
    <w:rsid w:val="00635CD7"/>
    <w:rsid w:val="00635F16"/>
    <w:rsid w:val="006362D2"/>
    <w:rsid w:val="00636314"/>
    <w:rsid w:val="006365D0"/>
    <w:rsid w:val="00636628"/>
    <w:rsid w:val="0063663D"/>
    <w:rsid w:val="00636E0D"/>
    <w:rsid w:val="00637527"/>
    <w:rsid w:val="00637618"/>
    <w:rsid w:val="00637632"/>
    <w:rsid w:val="00637C7C"/>
    <w:rsid w:val="00640403"/>
    <w:rsid w:val="006406B1"/>
    <w:rsid w:val="00640E6E"/>
    <w:rsid w:val="0064119F"/>
    <w:rsid w:val="00641EB1"/>
    <w:rsid w:val="00642734"/>
    <w:rsid w:val="00643067"/>
    <w:rsid w:val="00643200"/>
    <w:rsid w:val="006435CB"/>
    <w:rsid w:val="00643CF1"/>
    <w:rsid w:val="00643E25"/>
    <w:rsid w:val="006446A3"/>
    <w:rsid w:val="00644E9F"/>
    <w:rsid w:val="00644EB6"/>
    <w:rsid w:val="00645276"/>
    <w:rsid w:val="00645E9D"/>
    <w:rsid w:val="006468FC"/>
    <w:rsid w:val="00646D88"/>
    <w:rsid w:val="0064757F"/>
    <w:rsid w:val="00647B52"/>
    <w:rsid w:val="00647D43"/>
    <w:rsid w:val="00650956"/>
    <w:rsid w:val="00650BFF"/>
    <w:rsid w:val="0065171D"/>
    <w:rsid w:val="00651727"/>
    <w:rsid w:val="006519EC"/>
    <w:rsid w:val="00651F36"/>
    <w:rsid w:val="0065272A"/>
    <w:rsid w:val="00652ADF"/>
    <w:rsid w:val="00652CC0"/>
    <w:rsid w:val="00652F26"/>
    <w:rsid w:val="00652F74"/>
    <w:rsid w:val="006530DC"/>
    <w:rsid w:val="0065316A"/>
    <w:rsid w:val="00653341"/>
    <w:rsid w:val="006534F4"/>
    <w:rsid w:val="00653730"/>
    <w:rsid w:val="0065436C"/>
    <w:rsid w:val="006546A4"/>
    <w:rsid w:val="00655C74"/>
    <w:rsid w:val="00655C96"/>
    <w:rsid w:val="00656617"/>
    <w:rsid w:val="006567B1"/>
    <w:rsid w:val="006568BC"/>
    <w:rsid w:val="006575E3"/>
    <w:rsid w:val="00657973"/>
    <w:rsid w:val="00657DD1"/>
    <w:rsid w:val="00660529"/>
    <w:rsid w:val="00660C8C"/>
    <w:rsid w:val="006614E0"/>
    <w:rsid w:val="006618C9"/>
    <w:rsid w:val="00661949"/>
    <w:rsid w:val="006619EC"/>
    <w:rsid w:val="00661B5E"/>
    <w:rsid w:val="00661D37"/>
    <w:rsid w:val="00661E2B"/>
    <w:rsid w:val="00661E38"/>
    <w:rsid w:val="0066243B"/>
    <w:rsid w:val="00663186"/>
    <w:rsid w:val="0066393C"/>
    <w:rsid w:val="00663E6A"/>
    <w:rsid w:val="00664224"/>
    <w:rsid w:val="006649E0"/>
    <w:rsid w:val="00664E8D"/>
    <w:rsid w:val="00665087"/>
    <w:rsid w:val="006650AE"/>
    <w:rsid w:val="006650D2"/>
    <w:rsid w:val="00665E91"/>
    <w:rsid w:val="00665FBD"/>
    <w:rsid w:val="00666B12"/>
    <w:rsid w:val="0066731B"/>
    <w:rsid w:val="006673B9"/>
    <w:rsid w:val="00667625"/>
    <w:rsid w:val="00667BA5"/>
    <w:rsid w:val="00667BB9"/>
    <w:rsid w:val="00667C40"/>
    <w:rsid w:val="00667D2C"/>
    <w:rsid w:val="00667E7F"/>
    <w:rsid w:val="006701C6"/>
    <w:rsid w:val="0067097F"/>
    <w:rsid w:val="00670CA7"/>
    <w:rsid w:val="00670FF6"/>
    <w:rsid w:val="00671000"/>
    <w:rsid w:val="0067123E"/>
    <w:rsid w:val="006717AD"/>
    <w:rsid w:val="00671CCB"/>
    <w:rsid w:val="0067425E"/>
    <w:rsid w:val="006745C6"/>
    <w:rsid w:val="00674B62"/>
    <w:rsid w:val="006750CB"/>
    <w:rsid w:val="00675392"/>
    <w:rsid w:val="00675B20"/>
    <w:rsid w:val="00675C02"/>
    <w:rsid w:val="006764AE"/>
    <w:rsid w:val="006765B2"/>
    <w:rsid w:val="00676A81"/>
    <w:rsid w:val="00676B51"/>
    <w:rsid w:val="00676DCC"/>
    <w:rsid w:val="00677318"/>
    <w:rsid w:val="006773AE"/>
    <w:rsid w:val="00677448"/>
    <w:rsid w:val="006776C1"/>
    <w:rsid w:val="00677C66"/>
    <w:rsid w:val="00677DA0"/>
    <w:rsid w:val="00677E86"/>
    <w:rsid w:val="00677FB6"/>
    <w:rsid w:val="006803A3"/>
    <w:rsid w:val="00680984"/>
    <w:rsid w:val="00680DB4"/>
    <w:rsid w:val="00681284"/>
    <w:rsid w:val="00681520"/>
    <w:rsid w:val="00681A8C"/>
    <w:rsid w:val="00681D74"/>
    <w:rsid w:val="00681D7E"/>
    <w:rsid w:val="00681F4D"/>
    <w:rsid w:val="006822D2"/>
    <w:rsid w:val="00682ACD"/>
    <w:rsid w:val="00683335"/>
    <w:rsid w:val="00683358"/>
    <w:rsid w:val="006833AB"/>
    <w:rsid w:val="006834E3"/>
    <w:rsid w:val="00683DFE"/>
    <w:rsid w:val="006846D4"/>
    <w:rsid w:val="00684B26"/>
    <w:rsid w:val="00684CBC"/>
    <w:rsid w:val="00684EB8"/>
    <w:rsid w:val="00685001"/>
    <w:rsid w:val="0068512E"/>
    <w:rsid w:val="006863EA"/>
    <w:rsid w:val="00686BB9"/>
    <w:rsid w:val="00686BF0"/>
    <w:rsid w:val="00686D24"/>
    <w:rsid w:val="0068705F"/>
    <w:rsid w:val="0068752E"/>
    <w:rsid w:val="00690177"/>
    <w:rsid w:val="006904B3"/>
    <w:rsid w:val="0069079E"/>
    <w:rsid w:val="006907AF"/>
    <w:rsid w:val="00691AED"/>
    <w:rsid w:val="00691BFF"/>
    <w:rsid w:val="006920F8"/>
    <w:rsid w:val="00692479"/>
    <w:rsid w:val="00692739"/>
    <w:rsid w:val="006928A6"/>
    <w:rsid w:val="00692D81"/>
    <w:rsid w:val="0069358D"/>
    <w:rsid w:val="006935B1"/>
    <w:rsid w:val="00693BA4"/>
    <w:rsid w:val="00693C4F"/>
    <w:rsid w:val="00693D9E"/>
    <w:rsid w:val="00694065"/>
    <w:rsid w:val="006946C0"/>
    <w:rsid w:val="00694EAC"/>
    <w:rsid w:val="006950E8"/>
    <w:rsid w:val="00695D62"/>
    <w:rsid w:val="00695E4F"/>
    <w:rsid w:val="00695F3B"/>
    <w:rsid w:val="00695FBC"/>
    <w:rsid w:val="00696A02"/>
    <w:rsid w:val="00696DB3"/>
    <w:rsid w:val="00697197"/>
    <w:rsid w:val="0069745C"/>
    <w:rsid w:val="0069782E"/>
    <w:rsid w:val="006A0329"/>
    <w:rsid w:val="006A088B"/>
    <w:rsid w:val="006A1347"/>
    <w:rsid w:val="006A1972"/>
    <w:rsid w:val="006A1B16"/>
    <w:rsid w:val="006A1B66"/>
    <w:rsid w:val="006A1D4E"/>
    <w:rsid w:val="006A30D6"/>
    <w:rsid w:val="006A3735"/>
    <w:rsid w:val="006A3975"/>
    <w:rsid w:val="006A44AB"/>
    <w:rsid w:val="006A4559"/>
    <w:rsid w:val="006A4A73"/>
    <w:rsid w:val="006A4C30"/>
    <w:rsid w:val="006A4CD8"/>
    <w:rsid w:val="006A50B6"/>
    <w:rsid w:val="006A57F8"/>
    <w:rsid w:val="006A59A5"/>
    <w:rsid w:val="006A5C04"/>
    <w:rsid w:val="006A60B6"/>
    <w:rsid w:val="006A6355"/>
    <w:rsid w:val="006A6467"/>
    <w:rsid w:val="006A6BC8"/>
    <w:rsid w:val="006A76FA"/>
    <w:rsid w:val="006B0229"/>
    <w:rsid w:val="006B092F"/>
    <w:rsid w:val="006B0AEA"/>
    <w:rsid w:val="006B1122"/>
    <w:rsid w:val="006B1429"/>
    <w:rsid w:val="006B1462"/>
    <w:rsid w:val="006B2363"/>
    <w:rsid w:val="006B23C1"/>
    <w:rsid w:val="006B319F"/>
    <w:rsid w:val="006B383C"/>
    <w:rsid w:val="006B3ACA"/>
    <w:rsid w:val="006B3AF9"/>
    <w:rsid w:val="006B3B8F"/>
    <w:rsid w:val="006B3E87"/>
    <w:rsid w:val="006B3FDC"/>
    <w:rsid w:val="006B4FC1"/>
    <w:rsid w:val="006B58A0"/>
    <w:rsid w:val="006B5B35"/>
    <w:rsid w:val="006B6131"/>
    <w:rsid w:val="006B6AC7"/>
    <w:rsid w:val="006B79CD"/>
    <w:rsid w:val="006B7B43"/>
    <w:rsid w:val="006B7DB8"/>
    <w:rsid w:val="006C007D"/>
    <w:rsid w:val="006C024E"/>
    <w:rsid w:val="006C0F12"/>
    <w:rsid w:val="006C10DF"/>
    <w:rsid w:val="006C1A55"/>
    <w:rsid w:val="006C1BF4"/>
    <w:rsid w:val="006C1ECD"/>
    <w:rsid w:val="006C2DCD"/>
    <w:rsid w:val="006C334C"/>
    <w:rsid w:val="006C360A"/>
    <w:rsid w:val="006C4481"/>
    <w:rsid w:val="006C50FA"/>
    <w:rsid w:val="006C5201"/>
    <w:rsid w:val="006C52C7"/>
    <w:rsid w:val="006C5D1D"/>
    <w:rsid w:val="006C61B4"/>
    <w:rsid w:val="006C6276"/>
    <w:rsid w:val="006C654B"/>
    <w:rsid w:val="006C6584"/>
    <w:rsid w:val="006C7029"/>
    <w:rsid w:val="006C719E"/>
    <w:rsid w:val="006C7222"/>
    <w:rsid w:val="006C78B2"/>
    <w:rsid w:val="006C78E7"/>
    <w:rsid w:val="006D0F29"/>
    <w:rsid w:val="006D0F98"/>
    <w:rsid w:val="006D1238"/>
    <w:rsid w:val="006D140D"/>
    <w:rsid w:val="006D1B21"/>
    <w:rsid w:val="006D1CF0"/>
    <w:rsid w:val="006D21A8"/>
    <w:rsid w:val="006D2295"/>
    <w:rsid w:val="006D232D"/>
    <w:rsid w:val="006D2C6B"/>
    <w:rsid w:val="006D2E9F"/>
    <w:rsid w:val="006D3B2E"/>
    <w:rsid w:val="006D430C"/>
    <w:rsid w:val="006D4B00"/>
    <w:rsid w:val="006D4B75"/>
    <w:rsid w:val="006D4E17"/>
    <w:rsid w:val="006D5027"/>
    <w:rsid w:val="006D50AB"/>
    <w:rsid w:val="006D5400"/>
    <w:rsid w:val="006D56CE"/>
    <w:rsid w:val="006D573F"/>
    <w:rsid w:val="006D59F8"/>
    <w:rsid w:val="006D5A09"/>
    <w:rsid w:val="006D5C5D"/>
    <w:rsid w:val="006D5DA8"/>
    <w:rsid w:val="006D5F72"/>
    <w:rsid w:val="006D5FCC"/>
    <w:rsid w:val="006D6285"/>
    <w:rsid w:val="006D6635"/>
    <w:rsid w:val="006D6C5D"/>
    <w:rsid w:val="006D768A"/>
    <w:rsid w:val="006D782B"/>
    <w:rsid w:val="006E0931"/>
    <w:rsid w:val="006E0A7F"/>
    <w:rsid w:val="006E128F"/>
    <w:rsid w:val="006E258C"/>
    <w:rsid w:val="006E2636"/>
    <w:rsid w:val="006E2F98"/>
    <w:rsid w:val="006E38B4"/>
    <w:rsid w:val="006E3B39"/>
    <w:rsid w:val="006E3CA7"/>
    <w:rsid w:val="006E40FD"/>
    <w:rsid w:val="006E4A4B"/>
    <w:rsid w:val="006E4B10"/>
    <w:rsid w:val="006E4B4D"/>
    <w:rsid w:val="006E4B7A"/>
    <w:rsid w:val="006E517A"/>
    <w:rsid w:val="006E54CB"/>
    <w:rsid w:val="006E5E43"/>
    <w:rsid w:val="006E5FA4"/>
    <w:rsid w:val="006E5FB4"/>
    <w:rsid w:val="006E613C"/>
    <w:rsid w:val="006E664F"/>
    <w:rsid w:val="006E6BBF"/>
    <w:rsid w:val="006E7260"/>
    <w:rsid w:val="006F0514"/>
    <w:rsid w:val="006F07FA"/>
    <w:rsid w:val="006F087F"/>
    <w:rsid w:val="006F0F3C"/>
    <w:rsid w:val="006F125D"/>
    <w:rsid w:val="006F13A5"/>
    <w:rsid w:val="006F186F"/>
    <w:rsid w:val="006F1EED"/>
    <w:rsid w:val="006F203E"/>
    <w:rsid w:val="006F273B"/>
    <w:rsid w:val="006F30F5"/>
    <w:rsid w:val="006F3634"/>
    <w:rsid w:val="006F3A2E"/>
    <w:rsid w:val="006F3BB8"/>
    <w:rsid w:val="006F455F"/>
    <w:rsid w:val="006F4842"/>
    <w:rsid w:val="006F4915"/>
    <w:rsid w:val="006F4C62"/>
    <w:rsid w:val="006F4DA3"/>
    <w:rsid w:val="006F525B"/>
    <w:rsid w:val="006F5278"/>
    <w:rsid w:val="006F5495"/>
    <w:rsid w:val="006F5640"/>
    <w:rsid w:val="006F58B7"/>
    <w:rsid w:val="006F58C5"/>
    <w:rsid w:val="006F58CB"/>
    <w:rsid w:val="006F5E07"/>
    <w:rsid w:val="006F61C3"/>
    <w:rsid w:val="006F625E"/>
    <w:rsid w:val="006F66E9"/>
    <w:rsid w:val="006F6762"/>
    <w:rsid w:val="006F70CC"/>
    <w:rsid w:val="006F7852"/>
    <w:rsid w:val="00700BCA"/>
    <w:rsid w:val="00700EAA"/>
    <w:rsid w:val="007010AD"/>
    <w:rsid w:val="0070123D"/>
    <w:rsid w:val="0070180A"/>
    <w:rsid w:val="00701B01"/>
    <w:rsid w:val="00701E65"/>
    <w:rsid w:val="0070225A"/>
    <w:rsid w:val="007024C6"/>
    <w:rsid w:val="0070295A"/>
    <w:rsid w:val="00702A22"/>
    <w:rsid w:val="00703127"/>
    <w:rsid w:val="0070316A"/>
    <w:rsid w:val="007031A2"/>
    <w:rsid w:val="00703445"/>
    <w:rsid w:val="00703559"/>
    <w:rsid w:val="00703630"/>
    <w:rsid w:val="0070373B"/>
    <w:rsid w:val="00703BAB"/>
    <w:rsid w:val="00704899"/>
    <w:rsid w:val="00704922"/>
    <w:rsid w:val="00704FB6"/>
    <w:rsid w:val="00705090"/>
    <w:rsid w:val="00705126"/>
    <w:rsid w:val="00705386"/>
    <w:rsid w:val="00705AA2"/>
    <w:rsid w:val="00706634"/>
    <w:rsid w:val="007066C0"/>
    <w:rsid w:val="00706CC0"/>
    <w:rsid w:val="00706DD8"/>
    <w:rsid w:val="0070732F"/>
    <w:rsid w:val="007079BD"/>
    <w:rsid w:val="00707B39"/>
    <w:rsid w:val="00707D08"/>
    <w:rsid w:val="00707D67"/>
    <w:rsid w:val="00707EB2"/>
    <w:rsid w:val="00707F44"/>
    <w:rsid w:val="007104B1"/>
    <w:rsid w:val="00710595"/>
    <w:rsid w:val="007106B6"/>
    <w:rsid w:val="0071071A"/>
    <w:rsid w:val="007108C9"/>
    <w:rsid w:val="007109F3"/>
    <w:rsid w:val="00710C31"/>
    <w:rsid w:val="00710FE7"/>
    <w:rsid w:val="007111E2"/>
    <w:rsid w:val="0071128E"/>
    <w:rsid w:val="00712350"/>
    <w:rsid w:val="0071271A"/>
    <w:rsid w:val="007128BA"/>
    <w:rsid w:val="00712A94"/>
    <w:rsid w:val="007133F5"/>
    <w:rsid w:val="00713551"/>
    <w:rsid w:val="00713BC5"/>
    <w:rsid w:val="00714776"/>
    <w:rsid w:val="00714934"/>
    <w:rsid w:val="00715FDB"/>
    <w:rsid w:val="00716C00"/>
    <w:rsid w:val="007170B0"/>
    <w:rsid w:val="00717419"/>
    <w:rsid w:val="00717CBE"/>
    <w:rsid w:val="00717DE0"/>
    <w:rsid w:val="00720CE0"/>
    <w:rsid w:val="00720D36"/>
    <w:rsid w:val="00720F89"/>
    <w:rsid w:val="007211DA"/>
    <w:rsid w:val="00721A62"/>
    <w:rsid w:val="00721A63"/>
    <w:rsid w:val="00721FA6"/>
    <w:rsid w:val="00722002"/>
    <w:rsid w:val="00722018"/>
    <w:rsid w:val="0072230A"/>
    <w:rsid w:val="007226A8"/>
    <w:rsid w:val="00722E06"/>
    <w:rsid w:val="00723B18"/>
    <w:rsid w:val="00723ED0"/>
    <w:rsid w:val="007240F4"/>
    <w:rsid w:val="007243E9"/>
    <w:rsid w:val="0072448F"/>
    <w:rsid w:val="00725494"/>
    <w:rsid w:val="00725588"/>
    <w:rsid w:val="0072571D"/>
    <w:rsid w:val="007275D0"/>
    <w:rsid w:val="00727756"/>
    <w:rsid w:val="0072787D"/>
    <w:rsid w:val="00727A84"/>
    <w:rsid w:val="00731114"/>
    <w:rsid w:val="007317F8"/>
    <w:rsid w:val="0073228F"/>
    <w:rsid w:val="00732418"/>
    <w:rsid w:val="0073254C"/>
    <w:rsid w:val="0073259B"/>
    <w:rsid w:val="00732761"/>
    <w:rsid w:val="00732C82"/>
    <w:rsid w:val="00732DA7"/>
    <w:rsid w:val="00733A77"/>
    <w:rsid w:val="00733A9B"/>
    <w:rsid w:val="00733B04"/>
    <w:rsid w:val="00733FC6"/>
    <w:rsid w:val="00734552"/>
    <w:rsid w:val="007352CB"/>
    <w:rsid w:val="00735334"/>
    <w:rsid w:val="007356A7"/>
    <w:rsid w:val="00735780"/>
    <w:rsid w:val="007357A0"/>
    <w:rsid w:val="0073582F"/>
    <w:rsid w:val="00736270"/>
    <w:rsid w:val="0073661E"/>
    <w:rsid w:val="007367EC"/>
    <w:rsid w:val="00736BB1"/>
    <w:rsid w:val="00736CEF"/>
    <w:rsid w:val="007373FD"/>
    <w:rsid w:val="0073749B"/>
    <w:rsid w:val="00737959"/>
    <w:rsid w:val="0074047B"/>
    <w:rsid w:val="00740A6C"/>
    <w:rsid w:val="00740C00"/>
    <w:rsid w:val="007415A4"/>
    <w:rsid w:val="0074178C"/>
    <w:rsid w:val="007418E1"/>
    <w:rsid w:val="00741951"/>
    <w:rsid w:val="00741E03"/>
    <w:rsid w:val="00741FE0"/>
    <w:rsid w:val="00742344"/>
    <w:rsid w:val="00742CF3"/>
    <w:rsid w:val="00744645"/>
    <w:rsid w:val="007446BE"/>
    <w:rsid w:val="00744D3C"/>
    <w:rsid w:val="00744F84"/>
    <w:rsid w:val="00744FCF"/>
    <w:rsid w:val="00745AE0"/>
    <w:rsid w:val="00746167"/>
    <w:rsid w:val="007469A2"/>
    <w:rsid w:val="007470AC"/>
    <w:rsid w:val="00750320"/>
    <w:rsid w:val="007503C1"/>
    <w:rsid w:val="00750D87"/>
    <w:rsid w:val="00750D89"/>
    <w:rsid w:val="00751373"/>
    <w:rsid w:val="007514F4"/>
    <w:rsid w:val="007515E1"/>
    <w:rsid w:val="00751A56"/>
    <w:rsid w:val="00751CD3"/>
    <w:rsid w:val="007520F0"/>
    <w:rsid w:val="0075245D"/>
    <w:rsid w:val="007533A9"/>
    <w:rsid w:val="00753AED"/>
    <w:rsid w:val="007547AD"/>
    <w:rsid w:val="00754952"/>
    <w:rsid w:val="00754F65"/>
    <w:rsid w:val="007550E8"/>
    <w:rsid w:val="0075557D"/>
    <w:rsid w:val="0075582B"/>
    <w:rsid w:val="00755AE2"/>
    <w:rsid w:val="00755DBF"/>
    <w:rsid w:val="0075651F"/>
    <w:rsid w:val="007569DC"/>
    <w:rsid w:val="00756FDC"/>
    <w:rsid w:val="00757126"/>
    <w:rsid w:val="007579CE"/>
    <w:rsid w:val="00757C59"/>
    <w:rsid w:val="00757D1B"/>
    <w:rsid w:val="00757E77"/>
    <w:rsid w:val="00757EF4"/>
    <w:rsid w:val="00757EF8"/>
    <w:rsid w:val="0076003C"/>
    <w:rsid w:val="00760179"/>
    <w:rsid w:val="0076017A"/>
    <w:rsid w:val="007602AC"/>
    <w:rsid w:val="00760471"/>
    <w:rsid w:val="0076075D"/>
    <w:rsid w:val="00760EB9"/>
    <w:rsid w:val="00761660"/>
    <w:rsid w:val="00762131"/>
    <w:rsid w:val="0076238F"/>
    <w:rsid w:val="007626B5"/>
    <w:rsid w:val="007627F7"/>
    <w:rsid w:val="00762A36"/>
    <w:rsid w:val="00763067"/>
    <w:rsid w:val="007632F1"/>
    <w:rsid w:val="007634AD"/>
    <w:rsid w:val="00763BB4"/>
    <w:rsid w:val="00763E29"/>
    <w:rsid w:val="00763FB3"/>
    <w:rsid w:val="0076405B"/>
    <w:rsid w:val="007641ED"/>
    <w:rsid w:val="00764B6D"/>
    <w:rsid w:val="00764B75"/>
    <w:rsid w:val="00765441"/>
    <w:rsid w:val="007654FC"/>
    <w:rsid w:val="007668DF"/>
    <w:rsid w:val="00766C69"/>
    <w:rsid w:val="00766E08"/>
    <w:rsid w:val="0076747F"/>
    <w:rsid w:val="00767772"/>
    <w:rsid w:val="00767D9C"/>
    <w:rsid w:val="007705A1"/>
    <w:rsid w:val="00770AA6"/>
    <w:rsid w:val="00770CF9"/>
    <w:rsid w:val="00771501"/>
    <w:rsid w:val="0077188B"/>
    <w:rsid w:val="00771A69"/>
    <w:rsid w:val="0077211F"/>
    <w:rsid w:val="007722B7"/>
    <w:rsid w:val="00772D36"/>
    <w:rsid w:val="007737B6"/>
    <w:rsid w:val="00773B60"/>
    <w:rsid w:val="00774DAD"/>
    <w:rsid w:val="00774DD9"/>
    <w:rsid w:val="0077565B"/>
    <w:rsid w:val="0077579F"/>
    <w:rsid w:val="00775846"/>
    <w:rsid w:val="00775857"/>
    <w:rsid w:val="00775EE6"/>
    <w:rsid w:val="0077690A"/>
    <w:rsid w:val="00776DF0"/>
    <w:rsid w:val="007778F4"/>
    <w:rsid w:val="0077796A"/>
    <w:rsid w:val="00777DD1"/>
    <w:rsid w:val="00780057"/>
    <w:rsid w:val="0078078F"/>
    <w:rsid w:val="00781379"/>
    <w:rsid w:val="007815E3"/>
    <w:rsid w:val="00781D8C"/>
    <w:rsid w:val="00782363"/>
    <w:rsid w:val="00783431"/>
    <w:rsid w:val="00783461"/>
    <w:rsid w:val="007836D7"/>
    <w:rsid w:val="00783D94"/>
    <w:rsid w:val="00783DEA"/>
    <w:rsid w:val="00783EFC"/>
    <w:rsid w:val="00784163"/>
    <w:rsid w:val="00784515"/>
    <w:rsid w:val="007845E8"/>
    <w:rsid w:val="00784AC3"/>
    <w:rsid w:val="007851B3"/>
    <w:rsid w:val="007858D4"/>
    <w:rsid w:val="0078607B"/>
    <w:rsid w:val="0078662C"/>
    <w:rsid w:val="0078705D"/>
    <w:rsid w:val="007877A0"/>
    <w:rsid w:val="0079072C"/>
    <w:rsid w:val="007910B1"/>
    <w:rsid w:val="00791391"/>
    <w:rsid w:val="00791701"/>
    <w:rsid w:val="0079181B"/>
    <w:rsid w:val="00791834"/>
    <w:rsid w:val="00791FFB"/>
    <w:rsid w:val="00792269"/>
    <w:rsid w:val="0079262D"/>
    <w:rsid w:val="007926A1"/>
    <w:rsid w:val="00792886"/>
    <w:rsid w:val="00792E1A"/>
    <w:rsid w:val="00793389"/>
    <w:rsid w:val="007934B7"/>
    <w:rsid w:val="00793782"/>
    <w:rsid w:val="007939C1"/>
    <w:rsid w:val="0079436A"/>
    <w:rsid w:val="007943EA"/>
    <w:rsid w:val="0079465C"/>
    <w:rsid w:val="00794B54"/>
    <w:rsid w:val="00794B9F"/>
    <w:rsid w:val="00794D54"/>
    <w:rsid w:val="007950E0"/>
    <w:rsid w:val="007951C9"/>
    <w:rsid w:val="00795249"/>
    <w:rsid w:val="00795470"/>
    <w:rsid w:val="00795918"/>
    <w:rsid w:val="007960A7"/>
    <w:rsid w:val="00796116"/>
    <w:rsid w:val="007978A2"/>
    <w:rsid w:val="00797ED1"/>
    <w:rsid w:val="00797EEA"/>
    <w:rsid w:val="007A0561"/>
    <w:rsid w:val="007A05B5"/>
    <w:rsid w:val="007A0675"/>
    <w:rsid w:val="007A0944"/>
    <w:rsid w:val="007A0995"/>
    <w:rsid w:val="007A0A0D"/>
    <w:rsid w:val="007A0C32"/>
    <w:rsid w:val="007A0E51"/>
    <w:rsid w:val="007A2345"/>
    <w:rsid w:val="007A2392"/>
    <w:rsid w:val="007A2733"/>
    <w:rsid w:val="007A284D"/>
    <w:rsid w:val="007A3478"/>
    <w:rsid w:val="007A350B"/>
    <w:rsid w:val="007A3695"/>
    <w:rsid w:val="007A3CC4"/>
    <w:rsid w:val="007A3EB2"/>
    <w:rsid w:val="007A445D"/>
    <w:rsid w:val="007A44DF"/>
    <w:rsid w:val="007A4A25"/>
    <w:rsid w:val="007A50D9"/>
    <w:rsid w:val="007A5515"/>
    <w:rsid w:val="007A58EC"/>
    <w:rsid w:val="007A6014"/>
    <w:rsid w:val="007A6393"/>
    <w:rsid w:val="007A66B1"/>
    <w:rsid w:val="007A67B8"/>
    <w:rsid w:val="007A6A15"/>
    <w:rsid w:val="007A6A5A"/>
    <w:rsid w:val="007A6E47"/>
    <w:rsid w:val="007A7293"/>
    <w:rsid w:val="007A7510"/>
    <w:rsid w:val="007A75DC"/>
    <w:rsid w:val="007A75F0"/>
    <w:rsid w:val="007A7738"/>
    <w:rsid w:val="007A79B1"/>
    <w:rsid w:val="007A7DC0"/>
    <w:rsid w:val="007B0019"/>
    <w:rsid w:val="007B1439"/>
    <w:rsid w:val="007B143D"/>
    <w:rsid w:val="007B1E57"/>
    <w:rsid w:val="007B2112"/>
    <w:rsid w:val="007B2277"/>
    <w:rsid w:val="007B26A8"/>
    <w:rsid w:val="007B30C2"/>
    <w:rsid w:val="007B31FB"/>
    <w:rsid w:val="007B33F8"/>
    <w:rsid w:val="007B4515"/>
    <w:rsid w:val="007B4861"/>
    <w:rsid w:val="007B4A6E"/>
    <w:rsid w:val="007B519E"/>
    <w:rsid w:val="007B566A"/>
    <w:rsid w:val="007B5F22"/>
    <w:rsid w:val="007B6F1B"/>
    <w:rsid w:val="007B706A"/>
    <w:rsid w:val="007B710D"/>
    <w:rsid w:val="007B78D2"/>
    <w:rsid w:val="007B7B11"/>
    <w:rsid w:val="007B7B8F"/>
    <w:rsid w:val="007C00E2"/>
    <w:rsid w:val="007C0DDB"/>
    <w:rsid w:val="007C0EF4"/>
    <w:rsid w:val="007C0FBD"/>
    <w:rsid w:val="007C16BB"/>
    <w:rsid w:val="007C1BE6"/>
    <w:rsid w:val="007C1C02"/>
    <w:rsid w:val="007C2014"/>
    <w:rsid w:val="007C270D"/>
    <w:rsid w:val="007C2B65"/>
    <w:rsid w:val="007C2F42"/>
    <w:rsid w:val="007C318F"/>
    <w:rsid w:val="007C32F3"/>
    <w:rsid w:val="007C331F"/>
    <w:rsid w:val="007C3321"/>
    <w:rsid w:val="007C38FE"/>
    <w:rsid w:val="007C3A39"/>
    <w:rsid w:val="007C3AAE"/>
    <w:rsid w:val="007C3AD1"/>
    <w:rsid w:val="007C3EE8"/>
    <w:rsid w:val="007C4804"/>
    <w:rsid w:val="007C4A07"/>
    <w:rsid w:val="007C4E4D"/>
    <w:rsid w:val="007C4FF5"/>
    <w:rsid w:val="007C534F"/>
    <w:rsid w:val="007C55FD"/>
    <w:rsid w:val="007C5DF2"/>
    <w:rsid w:val="007C7135"/>
    <w:rsid w:val="007C7AFF"/>
    <w:rsid w:val="007C7B2C"/>
    <w:rsid w:val="007C7B7F"/>
    <w:rsid w:val="007C7E75"/>
    <w:rsid w:val="007D08DD"/>
    <w:rsid w:val="007D0C05"/>
    <w:rsid w:val="007D0E01"/>
    <w:rsid w:val="007D0E43"/>
    <w:rsid w:val="007D12F6"/>
    <w:rsid w:val="007D13C2"/>
    <w:rsid w:val="007D205A"/>
    <w:rsid w:val="007D2420"/>
    <w:rsid w:val="007D2461"/>
    <w:rsid w:val="007D28E1"/>
    <w:rsid w:val="007D35D6"/>
    <w:rsid w:val="007D37A5"/>
    <w:rsid w:val="007D47A1"/>
    <w:rsid w:val="007D50D3"/>
    <w:rsid w:val="007D516F"/>
    <w:rsid w:val="007D5276"/>
    <w:rsid w:val="007D56AF"/>
    <w:rsid w:val="007D575D"/>
    <w:rsid w:val="007D6CBC"/>
    <w:rsid w:val="007D7138"/>
    <w:rsid w:val="007D7931"/>
    <w:rsid w:val="007E0754"/>
    <w:rsid w:val="007E0A01"/>
    <w:rsid w:val="007E10D1"/>
    <w:rsid w:val="007E10DF"/>
    <w:rsid w:val="007E12FD"/>
    <w:rsid w:val="007E198F"/>
    <w:rsid w:val="007E2060"/>
    <w:rsid w:val="007E21C6"/>
    <w:rsid w:val="007E22D9"/>
    <w:rsid w:val="007E2B3B"/>
    <w:rsid w:val="007E2F02"/>
    <w:rsid w:val="007E35FB"/>
    <w:rsid w:val="007E36B8"/>
    <w:rsid w:val="007E3817"/>
    <w:rsid w:val="007E4F92"/>
    <w:rsid w:val="007E55F1"/>
    <w:rsid w:val="007E58C1"/>
    <w:rsid w:val="007E5B71"/>
    <w:rsid w:val="007E5DE5"/>
    <w:rsid w:val="007E65CA"/>
    <w:rsid w:val="007E687F"/>
    <w:rsid w:val="007E7131"/>
    <w:rsid w:val="007E715D"/>
    <w:rsid w:val="007E71F8"/>
    <w:rsid w:val="007E7417"/>
    <w:rsid w:val="007E75B0"/>
    <w:rsid w:val="007E79E4"/>
    <w:rsid w:val="007E7B45"/>
    <w:rsid w:val="007F0EEC"/>
    <w:rsid w:val="007F1291"/>
    <w:rsid w:val="007F1302"/>
    <w:rsid w:val="007F17CA"/>
    <w:rsid w:val="007F17DE"/>
    <w:rsid w:val="007F1927"/>
    <w:rsid w:val="007F32F4"/>
    <w:rsid w:val="007F3D82"/>
    <w:rsid w:val="007F4364"/>
    <w:rsid w:val="007F45A7"/>
    <w:rsid w:val="007F56FC"/>
    <w:rsid w:val="007F5F32"/>
    <w:rsid w:val="007F6632"/>
    <w:rsid w:val="007F69E2"/>
    <w:rsid w:val="007F70D6"/>
    <w:rsid w:val="007F751D"/>
    <w:rsid w:val="007F762A"/>
    <w:rsid w:val="007F77FA"/>
    <w:rsid w:val="007F7CAD"/>
    <w:rsid w:val="007F7FA7"/>
    <w:rsid w:val="00800ABE"/>
    <w:rsid w:val="00800D9C"/>
    <w:rsid w:val="00800E9C"/>
    <w:rsid w:val="00801504"/>
    <w:rsid w:val="00801713"/>
    <w:rsid w:val="00801DBA"/>
    <w:rsid w:val="008024BE"/>
    <w:rsid w:val="00802D58"/>
    <w:rsid w:val="00802FCD"/>
    <w:rsid w:val="00803230"/>
    <w:rsid w:val="0080370F"/>
    <w:rsid w:val="00803A6F"/>
    <w:rsid w:val="00803D3E"/>
    <w:rsid w:val="00803D8F"/>
    <w:rsid w:val="00803E0C"/>
    <w:rsid w:val="00804184"/>
    <w:rsid w:val="00804477"/>
    <w:rsid w:val="00804C9D"/>
    <w:rsid w:val="008052AC"/>
    <w:rsid w:val="0080616F"/>
    <w:rsid w:val="008063CE"/>
    <w:rsid w:val="0080654E"/>
    <w:rsid w:val="00806AA3"/>
    <w:rsid w:val="00806E0A"/>
    <w:rsid w:val="00806FA2"/>
    <w:rsid w:val="00807EDF"/>
    <w:rsid w:val="00810008"/>
    <w:rsid w:val="0081135E"/>
    <w:rsid w:val="00811565"/>
    <w:rsid w:val="00811854"/>
    <w:rsid w:val="008121E3"/>
    <w:rsid w:val="008125C0"/>
    <w:rsid w:val="00812AE3"/>
    <w:rsid w:val="00813059"/>
    <w:rsid w:val="008136B7"/>
    <w:rsid w:val="008139CC"/>
    <w:rsid w:val="00813CA6"/>
    <w:rsid w:val="00813D73"/>
    <w:rsid w:val="00813E08"/>
    <w:rsid w:val="00813F07"/>
    <w:rsid w:val="008146FA"/>
    <w:rsid w:val="00814DDE"/>
    <w:rsid w:val="00814DF0"/>
    <w:rsid w:val="00814DFB"/>
    <w:rsid w:val="00814E33"/>
    <w:rsid w:val="0081502D"/>
    <w:rsid w:val="00815124"/>
    <w:rsid w:val="008158AD"/>
    <w:rsid w:val="0081600D"/>
    <w:rsid w:val="008162D5"/>
    <w:rsid w:val="00816A35"/>
    <w:rsid w:val="00816E49"/>
    <w:rsid w:val="00817750"/>
    <w:rsid w:val="00817929"/>
    <w:rsid w:val="00817B48"/>
    <w:rsid w:val="00817E87"/>
    <w:rsid w:val="00820855"/>
    <w:rsid w:val="00820A47"/>
    <w:rsid w:val="008210D6"/>
    <w:rsid w:val="00821712"/>
    <w:rsid w:val="008218D6"/>
    <w:rsid w:val="008224AB"/>
    <w:rsid w:val="00823497"/>
    <w:rsid w:val="00823576"/>
    <w:rsid w:val="00823F8D"/>
    <w:rsid w:val="00824494"/>
    <w:rsid w:val="008248EE"/>
    <w:rsid w:val="00825105"/>
    <w:rsid w:val="0082530D"/>
    <w:rsid w:val="0082533E"/>
    <w:rsid w:val="008257E4"/>
    <w:rsid w:val="00825A19"/>
    <w:rsid w:val="00825A4B"/>
    <w:rsid w:val="00826E9C"/>
    <w:rsid w:val="00827D80"/>
    <w:rsid w:val="00827E36"/>
    <w:rsid w:val="008302C7"/>
    <w:rsid w:val="0083033F"/>
    <w:rsid w:val="0083077D"/>
    <w:rsid w:val="00830B55"/>
    <w:rsid w:val="00830B95"/>
    <w:rsid w:val="00830C41"/>
    <w:rsid w:val="008317CB"/>
    <w:rsid w:val="00831CC5"/>
    <w:rsid w:val="00831D81"/>
    <w:rsid w:val="0083393E"/>
    <w:rsid w:val="008340B9"/>
    <w:rsid w:val="0083419A"/>
    <w:rsid w:val="008341C4"/>
    <w:rsid w:val="00834CBD"/>
    <w:rsid w:val="008354BB"/>
    <w:rsid w:val="0083595F"/>
    <w:rsid w:val="0083663F"/>
    <w:rsid w:val="00836AE8"/>
    <w:rsid w:val="00836DA1"/>
    <w:rsid w:val="0083734D"/>
    <w:rsid w:val="00837400"/>
    <w:rsid w:val="008375B0"/>
    <w:rsid w:val="00840080"/>
    <w:rsid w:val="008401A8"/>
    <w:rsid w:val="0084062B"/>
    <w:rsid w:val="008411F3"/>
    <w:rsid w:val="00841A38"/>
    <w:rsid w:val="00841ED6"/>
    <w:rsid w:val="00842473"/>
    <w:rsid w:val="00842E9A"/>
    <w:rsid w:val="00842F70"/>
    <w:rsid w:val="008432BB"/>
    <w:rsid w:val="00843485"/>
    <w:rsid w:val="00843CCA"/>
    <w:rsid w:val="00843FBC"/>
    <w:rsid w:val="008445A8"/>
    <w:rsid w:val="00844F59"/>
    <w:rsid w:val="00845197"/>
    <w:rsid w:val="008456C6"/>
    <w:rsid w:val="0084571A"/>
    <w:rsid w:val="00846AE0"/>
    <w:rsid w:val="00846DEC"/>
    <w:rsid w:val="00847FBE"/>
    <w:rsid w:val="008500FE"/>
    <w:rsid w:val="0085047A"/>
    <w:rsid w:val="00850667"/>
    <w:rsid w:val="00850A0C"/>
    <w:rsid w:val="00851340"/>
    <w:rsid w:val="0085157C"/>
    <w:rsid w:val="00851920"/>
    <w:rsid w:val="00851950"/>
    <w:rsid w:val="00851AAD"/>
    <w:rsid w:val="00851CFA"/>
    <w:rsid w:val="00851DF9"/>
    <w:rsid w:val="008522E9"/>
    <w:rsid w:val="008524EB"/>
    <w:rsid w:val="008527A7"/>
    <w:rsid w:val="00852AEB"/>
    <w:rsid w:val="00852D17"/>
    <w:rsid w:val="0085368C"/>
    <w:rsid w:val="0085419F"/>
    <w:rsid w:val="008542CB"/>
    <w:rsid w:val="00854B9F"/>
    <w:rsid w:val="0085628D"/>
    <w:rsid w:val="008565A9"/>
    <w:rsid w:val="00856A21"/>
    <w:rsid w:val="00856ABB"/>
    <w:rsid w:val="0085759F"/>
    <w:rsid w:val="008577F8"/>
    <w:rsid w:val="00857B1C"/>
    <w:rsid w:val="00860432"/>
    <w:rsid w:val="00860811"/>
    <w:rsid w:val="00860934"/>
    <w:rsid w:val="00861022"/>
    <w:rsid w:val="00861667"/>
    <w:rsid w:val="00863200"/>
    <w:rsid w:val="008633BA"/>
    <w:rsid w:val="0086376F"/>
    <w:rsid w:val="00863877"/>
    <w:rsid w:val="0086531C"/>
    <w:rsid w:val="00865F4A"/>
    <w:rsid w:val="00866615"/>
    <w:rsid w:val="00866692"/>
    <w:rsid w:val="00866777"/>
    <w:rsid w:val="00866C48"/>
    <w:rsid w:val="008670A3"/>
    <w:rsid w:val="00867B79"/>
    <w:rsid w:val="008708AD"/>
    <w:rsid w:val="00870A0D"/>
    <w:rsid w:val="00870C6D"/>
    <w:rsid w:val="00870EDF"/>
    <w:rsid w:val="00871871"/>
    <w:rsid w:val="0087192B"/>
    <w:rsid w:val="00871BA7"/>
    <w:rsid w:val="00871CE7"/>
    <w:rsid w:val="00871E50"/>
    <w:rsid w:val="008726B7"/>
    <w:rsid w:val="00872789"/>
    <w:rsid w:val="00872C51"/>
    <w:rsid w:val="0087399E"/>
    <w:rsid w:val="008740A4"/>
    <w:rsid w:val="008742EF"/>
    <w:rsid w:val="008747B0"/>
    <w:rsid w:val="00875B13"/>
    <w:rsid w:val="00875B1C"/>
    <w:rsid w:val="00875F1E"/>
    <w:rsid w:val="0087641B"/>
    <w:rsid w:val="008768B3"/>
    <w:rsid w:val="0087690B"/>
    <w:rsid w:val="00876F98"/>
    <w:rsid w:val="00877218"/>
    <w:rsid w:val="00877605"/>
    <w:rsid w:val="00877846"/>
    <w:rsid w:val="00877E33"/>
    <w:rsid w:val="008807DF"/>
    <w:rsid w:val="0088089E"/>
    <w:rsid w:val="0088098E"/>
    <w:rsid w:val="00880B05"/>
    <w:rsid w:val="00881055"/>
    <w:rsid w:val="00881B85"/>
    <w:rsid w:val="00881E40"/>
    <w:rsid w:val="00881F77"/>
    <w:rsid w:val="00881F9C"/>
    <w:rsid w:val="008824E6"/>
    <w:rsid w:val="00882586"/>
    <w:rsid w:val="00882763"/>
    <w:rsid w:val="008829ED"/>
    <w:rsid w:val="00882AEE"/>
    <w:rsid w:val="0088320D"/>
    <w:rsid w:val="00883420"/>
    <w:rsid w:val="0088365F"/>
    <w:rsid w:val="00883A50"/>
    <w:rsid w:val="00883A98"/>
    <w:rsid w:val="00883F5E"/>
    <w:rsid w:val="0088421D"/>
    <w:rsid w:val="008843BF"/>
    <w:rsid w:val="0088496A"/>
    <w:rsid w:val="00884EF7"/>
    <w:rsid w:val="00885276"/>
    <w:rsid w:val="008855B6"/>
    <w:rsid w:val="008857B7"/>
    <w:rsid w:val="00885AE9"/>
    <w:rsid w:val="00885FC5"/>
    <w:rsid w:val="0088667B"/>
    <w:rsid w:val="00886765"/>
    <w:rsid w:val="00887359"/>
    <w:rsid w:val="008877E7"/>
    <w:rsid w:val="00887A3F"/>
    <w:rsid w:val="00887D7C"/>
    <w:rsid w:val="00887FC0"/>
    <w:rsid w:val="0089016E"/>
    <w:rsid w:val="00890194"/>
    <w:rsid w:val="0089029C"/>
    <w:rsid w:val="00890A2A"/>
    <w:rsid w:val="00890ADA"/>
    <w:rsid w:val="00890AF0"/>
    <w:rsid w:val="00891113"/>
    <w:rsid w:val="00891670"/>
    <w:rsid w:val="0089193B"/>
    <w:rsid w:val="008929F7"/>
    <w:rsid w:val="0089313B"/>
    <w:rsid w:val="008939AE"/>
    <w:rsid w:val="008939CF"/>
    <w:rsid w:val="00894397"/>
    <w:rsid w:val="00894D16"/>
    <w:rsid w:val="00895722"/>
    <w:rsid w:val="00895C3A"/>
    <w:rsid w:val="00895FF5"/>
    <w:rsid w:val="0089677D"/>
    <w:rsid w:val="0089734B"/>
    <w:rsid w:val="008975EB"/>
    <w:rsid w:val="008977CA"/>
    <w:rsid w:val="0089785F"/>
    <w:rsid w:val="00897DAB"/>
    <w:rsid w:val="008A000E"/>
    <w:rsid w:val="008A01DD"/>
    <w:rsid w:val="008A02DF"/>
    <w:rsid w:val="008A086A"/>
    <w:rsid w:val="008A1840"/>
    <w:rsid w:val="008A1BB1"/>
    <w:rsid w:val="008A2681"/>
    <w:rsid w:val="008A27F8"/>
    <w:rsid w:val="008A2A20"/>
    <w:rsid w:val="008A2A30"/>
    <w:rsid w:val="008A2AC0"/>
    <w:rsid w:val="008A305C"/>
    <w:rsid w:val="008A3F18"/>
    <w:rsid w:val="008A3FF3"/>
    <w:rsid w:val="008A471B"/>
    <w:rsid w:val="008A4797"/>
    <w:rsid w:val="008A49F5"/>
    <w:rsid w:val="008A51E6"/>
    <w:rsid w:val="008A5441"/>
    <w:rsid w:val="008A54F6"/>
    <w:rsid w:val="008A55F7"/>
    <w:rsid w:val="008A581F"/>
    <w:rsid w:val="008A5954"/>
    <w:rsid w:val="008A5C43"/>
    <w:rsid w:val="008A5C63"/>
    <w:rsid w:val="008A6D6B"/>
    <w:rsid w:val="008A6F65"/>
    <w:rsid w:val="008A7ABC"/>
    <w:rsid w:val="008A7EF5"/>
    <w:rsid w:val="008B100F"/>
    <w:rsid w:val="008B1263"/>
    <w:rsid w:val="008B12FB"/>
    <w:rsid w:val="008B25D5"/>
    <w:rsid w:val="008B2CCD"/>
    <w:rsid w:val="008B2D23"/>
    <w:rsid w:val="008B2E41"/>
    <w:rsid w:val="008B3903"/>
    <w:rsid w:val="008B391E"/>
    <w:rsid w:val="008B392F"/>
    <w:rsid w:val="008B3AF3"/>
    <w:rsid w:val="008B4375"/>
    <w:rsid w:val="008B4478"/>
    <w:rsid w:val="008B4669"/>
    <w:rsid w:val="008B51A1"/>
    <w:rsid w:val="008B5BF6"/>
    <w:rsid w:val="008B5C40"/>
    <w:rsid w:val="008B5CA6"/>
    <w:rsid w:val="008B5DA2"/>
    <w:rsid w:val="008B61E4"/>
    <w:rsid w:val="008B690D"/>
    <w:rsid w:val="008B6928"/>
    <w:rsid w:val="008B70DE"/>
    <w:rsid w:val="008B7255"/>
    <w:rsid w:val="008B7487"/>
    <w:rsid w:val="008B7929"/>
    <w:rsid w:val="008C049B"/>
    <w:rsid w:val="008C0689"/>
    <w:rsid w:val="008C0718"/>
    <w:rsid w:val="008C08C6"/>
    <w:rsid w:val="008C0B50"/>
    <w:rsid w:val="008C0D4B"/>
    <w:rsid w:val="008C0E40"/>
    <w:rsid w:val="008C1143"/>
    <w:rsid w:val="008C1873"/>
    <w:rsid w:val="008C1BDA"/>
    <w:rsid w:val="008C219B"/>
    <w:rsid w:val="008C2372"/>
    <w:rsid w:val="008C2886"/>
    <w:rsid w:val="008C2EF9"/>
    <w:rsid w:val="008C2F4E"/>
    <w:rsid w:val="008C31AB"/>
    <w:rsid w:val="008C3448"/>
    <w:rsid w:val="008C36AF"/>
    <w:rsid w:val="008C4BB6"/>
    <w:rsid w:val="008C5303"/>
    <w:rsid w:val="008C58A0"/>
    <w:rsid w:val="008C6009"/>
    <w:rsid w:val="008C613D"/>
    <w:rsid w:val="008C6163"/>
    <w:rsid w:val="008C6268"/>
    <w:rsid w:val="008C66EA"/>
    <w:rsid w:val="008C67E0"/>
    <w:rsid w:val="008C6C3C"/>
    <w:rsid w:val="008C70C4"/>
    <w:rsid w:val="008C78B2"/>
    <w:rsid w:val="008D0F0D"/>
    <w:rsid w:val="008D1481"/>
    <w:rsid w:val="008D1B2E"/>
    <w:rsid w:val="008D1BA3"/>
    <w:rsid w:val="008D2132"/>
    <w:rsid w:val="008D2A2A"/>
    <w:rsid w:val="008D2C2D"/>
    <w:rsid w:val="008D2DC1"/>
    <w:rsid w:val="008D342F"/>
    <w:rsid w:val="008D37A5"/>
    <w:rsid w:val="008D3B0A"/>
    <w:rsid w:val="008D3D5F"/>
    <w:rsid w:val="008D3E29"/>
    <w:rsid w:val="008D47C2"/>
    <w:rsid w:val="008D48C6"/>
    <w:rsid w:val="008D4A8D"/>
    <w:rsid w:val="008D52C6"/>
    <w:rsid w:val="008D5871"/>
    <w:rsid w:val="008D68A7"/>
    <w:rsid w:val="008D6AF3"/>
    <w:rsid w:val="008D6E21"/>
    <w:rsid w:val="008D701F"/>
    <w:rsid w:val="008D737C"/>
    <w:rsid w:val="008D7533"/>
    <w:rsid w:val="008D75F9"/>
    <w:rsid w:val="008D7935"/>
    <w:rsid w:val="008D7D11"/>
    <w:rsid w:val="008E038D"/>
    <w:rsid w:val="008E0B24"/>
    <w:rsid w:val="008E1088"/>
    <w:rsid w:val="008E1430"/>
    <w:rsid w:val="008E1575"/>
    <w:rsid w:val="008E16F3"/>
    <w:rsid w:val="008E1721"/>
    <w:rsid w:val="008E1827"/>
    <w:rsid w:val="008E1DFD"/>
    <w:rsid w:val="008E206E"/>
    <w:rsid w:val="008E2246"/>
    <w:rsid w:val="008E2460"/>
    <w:rsid w:val="008E3050"/>
    <w:rsid w:val="008E314F"/>
    <w:rsid w:val="008E36D1"/>
    <w:rsid w:val="008E395F"/>
    <w:rsid w:val="008E39E5"/>
    <w:rsid w:val="008E3EC3"/>
    <w:rsid w:val="008E458D"/>
    <w:rsid w:val="008E4650"/>
    <w:rsid w:val="008E46F3"/>
    <w:rsid w:val="008E4E12"/>
    <w:rsid w:val="008E5B51"/>
    <w:rsid w:val="008E5BD9"/>
    <w:rsid w:val="008E60BE"/>
    <w:rsid w:val="008E706A"/>
    <w:rsid w:val="008E7734"/>
    <w:rsid w:val="008E7B75"/>
    <w:rsid w:val="008E7DFB"/>
    <w:rsid w:val="008E7E96"/>
    <w:rsid w:val="008F038C"/>
    <w:rsid w:val="008F0FC0"/>
    <w:rsid w:val="008F1433"/>
    <w:rsid w:val="008F1AA6"/>
    <w:rsid w:val="008F1D8C"/>
    <w:rsid w:val="008F2489"/>
    <w:rsid w:val="008F2B95"/>
    <w:rsid w:val="008F2FA6"/>
    <w:rsid w:val="008F3006"/>
    <w:rsid w:val="008F360D"/>
    <w:rsid w:val="008F3DFE"/>
    <w:rsid w:val="008F3E07"/>
    <w:rsid w:val="008F3FC5"/>
    <w:rsid w:val="008F4A78"/>
    <w:rsid w:val="008F4FCE"/>
    <w:rsid w:val="008F5675"/>
    <w:rsid w:val="008F56FC"/>
    <w:rsid w:val="008F5A3F"/>
    <w:rsid w:val="008F5A46"/>
    <w:rsid w:val="008F72B6"/>
    <w:rsid w:val="008F782A"/>
    <w:rsid w:val="008F7B2C"/>
    <w:rsid w:val="008F7E6D"/>
    <w:rsid w:val="00900B32"/>
    <w:rsid w:val="00900D60"/>
    <w:rsid w:val="00901412"/>
    <w:rsid w:val="00901E95"/>
    <w:rsid w:val="00901FD5"/>
    <w:rsid w:val="0090207A"/>
    <w:rsid w:val="0090247C"/>
    <w:rsid w:val="009027E2"/>
    <w:rsid w:val="00902CE5"/>
    <w:rsid w:val="00902D13"/>
    <w:rsid w:val="00902D7B"/>
    <w:rsid w:val="00903494"/>
    <w:rsid w:val="00903959"/>
    <w:rsid w:val="009039C2"/>
    <w:rsid w:val="00904201"/>
    <w:rsid w:val="009053AC"/>
    <w:rsid w:val="00905418"/>
    <w:rsid w:val="009054ED"/>
    <w:rsid w:val="009055BE"/>
    <w:rsid w:val="009063C4"/>
    <w:rsid w:val="009065B1"/>
    <w:rsid w:val="009067CE"/>
    <w:rsid w:val="00910215"/>
    <w:rsid w:val="00910711"/>
    <w:rsid w:val="0091085A"/>
    <w:rsid w:val="0091091C"/>
    <w:rsid w:val="00910A29"/>
    <w:rsid w:val="00910CA5"/>
    <w:rsid w:val="00911EB7"/>
    <w:rsid w:val="0091269C"/>
    <w:rsid w:val="009126A0"/>
    <w:rsid w:val="00912935"/>
    <w:rsid w:val="00912A93"/>
    <w:rsid w:val="00912BD2"/>
    <w:rsid w:val="00912DD0"/>
    <w:rsid w:val="009133C0"/>
    <w:rsid w:val="00913490"/>
    <w:rsid w:val="00913C7C"/>
    <w:rsid w:val="00914B63"/>
    <w:rsid w:val="00914E14"/>
    <w:rsid w:val="009151E1"/>
    <w:rsid w:val="00915F01"/>
    <w:rsid w:val="00916246"/>
    <w:rsid w:val="00916A8B"/>
    <w:rsid w:val="00916CE9"/>
    <w:rsid w:val="00916EFA"/>
    <w:rsid w:val="0091775C"/>
    <w:rsid w:val="00920107"/>
    <w:rsid w:val="0092077D"/>
    <w:rsid w:val="00920851"/>
    <w:rsid w:val="00920B38"/>
    <w:rsid w:val="0092124C"/>
    <w:rsid w:val="00921A6F"/>
    <w:rsid w:val="009220C9"/>
    <w:rsid w:val="009233F1"/>
    <w:rsid w:val="00923BF1"/>
    <w:rsid w:val="00924022"/>
    <w:rsid w:val="00924125"/>
    <w:rsid w:val="00924B0F"/>
    <w:rsid w:val="009253BB"/>
    <w:rsid w:val="0092565E"/>
    <w:rsid w:val="009256FB"/>
    <w:rsid w:val="009259FC"/>
    <w:rsid w:val="00925A13"/>
    <w:rsid w:val="00925B70"/>
    <w:rsid w:val="00926901"/>
    <w:rsid w:val="0092799D"/>
    <w:rsid w:val="00930288"/>
    <w:rsid w:val="0093083E"/>
    <w:rsid w:val="009316EA"/>
    <w:rsid w:val="0093195C"/>
    <w:rsid w:val="009330B3"/>
    <w:rsid w:val="00933595"/>
    <w:rsid w:val="009339D1"/>
    <w:rsid w:val="00933C07"/>
    <w:rsid w:val="00933D2C"/>
    <w:rsid w:val="00933E22"/>
    <w:rsid w:val="0093451E"/>
    <w:rsid w:val="0093453C"/>
    <w:rsid w:val="0093470F"/>
    <w:rsid w:val="00934772"/>
    <w:rsid w:val="009348BA"/>
    <w:rsid w:val="00934A1C"/>
    <w:rsid w:val="00935159"/>
    <w:rsid w:val="00936043"/>
    <w:rsid w:val="00936102"/>
    <w:rsid w:val="0093708B"/>
    <w:rsid w:val="009370AF"/>
    <w:rsid w:val="009378D9"/>
    <w:rsid w:val="00937B2A"/>
    <w:rsid w:val="00937CCD"/>
    <w:rsid w:val="00937D56"/>
    <w:rsid w:val="00937DB6"/>
    <w:rsid w:val="00940E6A"/>
    <w:rsid w:val="00941588"/>
    <w:rsid w:val="009419B8"/>
    <w:rsid w:val="00942664"/>
    <w:rsid w:val="009426D7"/>
    <w:rsid w:val="009430C0"/>
    <w:rsid w:val="00943669"/>
    <w:rsid w:val="00943C40"/>
    <w:rsid w:val="00943EC6"/>
    <w:rsid w:val="00944851"/>
    <w:rsid w:val="00944BE3"/>
    <w:rsid w:val="00945179"/>
    <w:rsid w:val="0094535E"/>
    <w:rsid w:val="009460E3"/>
    <w:rsid w:val="00946487"/>
    <w:rsid w:val="009467B6"/>
    <w:rsid w:val="00946B09"/>
    <w:rsid w:val="009476F6"/>
    <w:rsid w:val="00947E8E"/>
    <w:rsid w:val="009501D0"/>
    <w:rsid w:val="00950815"/>
    <w:rsid w:val="00950B6C"/>
    <w:rsid w:val="0095144F"/>
    <w:rsid w:val="009516B1"/>
    <w:rsid w:val="009516EE"/>
    <w:rsid w:val="00951702"/>
    <w:rsid w:val="00951C7A"/>
    <w:rsid w:val="00952095"/>
    <w:rsid w:val="009522FE"/>
    <w:rsid w:val="00952B52"/>
    <w:rsid w:val="009530BC"/>
    <w:rsid w:val="00953415"/>
    <w:rsid w:val="00953968"/>
    <w:rsid w:val="00953A72"/>
    <w:rsid w:val="00953C86"/>
    <w:rsid w:val="00953DD7"/>
    <w:rsid w:val="00953E97"/>
    <w:rsid w:val="00954469"/>
    <w:rsid w:val="00955942"/>
    <w:rsid w:val="00955C5E"/>
    <w:rsid w:val="009564B3"/>
    <w:rsid w:val="00956587"/>
    <w:rsid w:val="0095693D"/>
    <w:rsid w:val="00956EA8"/>
    <w:rsid w:val="009571B3"/>
    <w:rsid w:val="00957531"/>
    <w:rsid w:val="00957F51"/>
    <w:rsid w:val="0096089C"/>
    <w:rsid w:val="00960912"/>
    <w:rsid w:val="0096099C"/>
    <w:rsid w:val="00960BC4"/>
    <w:rsid w:val="00960C0A"/>
    <w:rsid w:val="00961452"/>
    <w:rsid w:val="00961D89"/>
    <w:rsid w:val="00961F3C"/>
    <w:rsid w:val="009625FA"/>
    <w:rsid w:val="009628D2"/>
    <w:rsid w:val="00963034"/>
    <w:rsid w:val="009632E6"/>
    <w:rsid w:val="00963311"/>
    <w:rsid w:val="0096360C"/>
    <w:rsid w:val="00964219"/>
    <w:rsid w:val="00965298"/>
    <w:rsid w:val="0096545B"/>
    <w:rsid w:val="009660E4"/>
    <w:rsid w:val="00966140"/>
    <w:rsid w:val="009662EC"/>
    <w:rsid w:val="0096656E"/>
    <w:rsid w:val="0096692A"/>
    <w:rsid w:val="00967CBF"/>
    <w:rsid w:val="00967DE9"/>
    <w:rsid w:val="00967E0A"/>
    <w:rsid w:val="00967E46"/>
    <w:rsid w:val="00970B39"/>
    <w:rsid w:val="009713CA"/>
    <w:rsid w:val="00971903"/>
    <w:rsid w:val="00971DB5"/>
    <w:rsid w:val="00972435"/>
    <w:rsid w:val="0097276C"/>
    <w:rsid w:val="00972F29"/>
    <w:rsid w:val="009731DD"/>
    <w:rsid w:val="00973218"/>
    <w:rsid w:val="00973B92"/>
    <w:rsid w:val="009743AF"/>
    <w:rsid w:val="00974432"/>
    <w:rsid w:val="00974621"/>
    <w:rsid w:val="00974783"/>
    <w:rsid w:val="00974FA3"/>
    <w:rsid w:val="00975643"/>
    <w:rsid w:val="009757B8"/>
    <w:rsid w:val="00975CC0"/>
    <w:rsid w:val="00976120"/>
    <w:rsid w:val="00976151"/>
    <w:rsid w:val="00976E04"/>
    <w:rsid w:val="009778F1"/>
    <w:rsid w:val="00980A2C"/>
    <w:rsid w:val="00980BCE"/>
    <w:rsid w:val="00980F9C"/>
    <w:rsid w:val="009812B3"/>
    <w:rsid w:val="00981652"/>
    <w:rsid w:val="00981A0F"/>
    <w:rsid w:val="00981B0A"/>
    <w:rsid w:val="00981DE6"/>
    <w:rsid w:val="00981DE9"/>
    <w:rsid w:val="0098210E"/>
    <w:rsid w:val="0098232A"/>
    <w:rsid w:val="00982483"/>
    <w:rsid w:val="0098267E"/>
    <w:rsid w:val="0098271E"/>
    <w:rsid w:val="00982D12"/>
    <w:rsid w:val="00982F79"/>
    <w:rsid w:val="0098310E"/>
    <w:rsid w:val="0098320D"/>
    <w:rsid w:val="009834CB"/>
    <w:rsid w:val="009837FA"/>
    <w:rsid w:val="00983D65"/>
    <w:rsid w:val="00983E78"/>
    <w:rsid w:val="0098412B"/>
    <w:rsid w:val="00984157"/>
    <w:rsid w:val="00985460"/>
    <w:rsid w:val="009873C7"/>
    <w:rsid w:val="009875DC"/>
    <w:rsid w:val="00987733"/>
    <w:rsid w:val="00987A54"/>
    <w:rsid w:val="00990C56"/>
    <w:rsid w:val="0099137C"/>
    <w:rsid w:val="00991B71"/>
    <w:rsid w:val="00991CD6"/>
    <w:rsid w:val="00992255"/>
    <w:rsid w:val="00992393"/>
    <w:rsid w:val="00992B9F"/>
    <w:rsid w:val="00992D50"/>
    <w:rsid w:val="0099351F"/>
    <w:rsid w:val="00993C8C"/>
    <w:rsid w:val="00994A5E"/>
    <w:rsid w:val="00994A7B"/>
    <w:rsid w:val="00994B73"/>
    <w:rsid w:val="009952DA"/>
    <w:rsid w:val="00995585"/>
    <w:rsid w:val="00995869"/>
    <w:rsid w:val="00995D33"/>
    <w:rsid w:val="00996098"/>
    <w:rsid w:val="00996713"/>
    <w:rsid w:val="00996A91"/>
    <w:rsid w:val="00996BEC"/>
    <w:rsid w:val="00996D1F"/>
    <w:rsid w:val="00996D2E"/>
    <w:rsid w:val="00997596"/>
    <w:rsid w:val="009976FA"/>
    <w:rsid w:val="00997733"/>
    <w:rsid w:val="009977DB"/>
    <w:rsid w:val="00997CBD"/>
    <w:rsid w:val="009A008D"/>
    <w:rsid w:val="009A0229"/>
    <w:rsid w:val="009A063C"/>
    <w:rsid w:val="009A0700"/>
    <w:rsid w:val="009A09B0"/>
    <w:rsid w:val="009A0C75"/>
    <w:rsid w:val="009A0D8F"/>
    <w:rsid w:val="009A1AFA"/>
    <w:rsid w:val="009A210A"/>
    <w:rsid w:val="009A218C"/>
    <w:rsid w:val="009A24D0"/>
    <w:rsid w:val="009A262A"/>
    <w:rsid w:val="009A285D"/>
    <w:rsid w:val="009A29F4"/>
    <w:rsid w:val="009A2B29"/>
    <w:rsid w:val="009A305A"/>
    <w:rsid w:val="009A3387"/>
    <w:rsid w:val="009A4394"/>
    <w:rsid w:val="009A4461"/>
    <w:rsid w:val="009A44A3"/>
    <w:rsid w:val="009A498D"/>
    <w:rsid w:val="009A51C0"/>
    <w:rsid w:val="009A5BFC"/>
    <w:rsid w:val="009A5C6F"/>
    <w:rsid w:val="009A617E"/>
    <w:rsid w:val="009A628E"/>
    <w:rsid w:val="009A677A"/>
    <w:rsid w:val="009A7144"/>
    <w:rsid w:val="009A75BF"/>
    <w:rsid w:val="009A7CDD"/>
    <w:rsid w:val="009A7D5D"/>
    <w:rsid w:val="009B0468"/>
    <w:rsid w:val="009B0884"/>
    <w:rsid w:val="009B0AFF"/>
    <w:rsid w:val="009B14A0"/>
    <w:rsid w:val="009B2368"/>
    <w:rsid w:val="009B262F"/>
    <w:rsid w:val="009B2690"/>
    <w:rsid w:val="009B2E33"/>
    <w:rsid w:val="009B2F43"/>
    <w:rsid w:val="009B3606"/>
    <w:rsid w:val="009B380C"/>
    <w:rsid w:val="009B3EA2"/>
    <w:rsid w:val="009B4276"/>
    <w:rsid w:val="009B478D"/>
    <w:rsid w:val="009B4B8D"/>
    <w:rsid w:val="009B4D3E"/>
    <w:rsid w:val="009B4E6E"/>
    <w:rsid w:val="009B5317"/>
    <w:rsid w:val="009B6383"/>
    <w:rsid w:val="009B6628"/>
    <w:rsid w:val="009B6A70"/>
    <w:rsid w:val="009B6B2A"/>
    <w:rsid w:val="009B7644"/>
    <w:rsid w:val="009B77AA"/>
    <w:rsid w:val="009B790D"/>
    <w:rsid w:val="009B7C1C"/>
    <w:rsid w:val="009C067B"/>
    <w:rsid w:val="009C09A6"/>
    <w:rsid w:val="009C1706"/>
    <w:rsid w:val="009C189A"/>
    <w:rsid w:val="009C19A4"/>
    <w:rsid w:val="009C1CAA"/>
    <w:rsid w:val="009C25C2"/>
    <w:rsid w:val="009C29D4"/>
    <w:rsid w:val="009C2BD7"/>
    <w:rsid w:val="009C2EA1"/>
    <w:rsid w:val="009C320B"/>
    <w:rsid w:val="009C36CF"/>
    <w:rsid w:val="009C36D2"/>
    <w:rsid w:val="009C3E33"/>
    <w:rsid w:val="009C440F"/>
    <w:rsid w:val="009C49A8"/>
    <w:rsid w:val="009C5000"/>
    <w:rsid w:val="009C5105"/>
    <w:rsid w:val="009C5C9C"/>
    <w:rsid w:val="009C5D36"/>
    <w:rsid w:val="009C6240"/>
    <w:rsid w:val="009C6D8C"/>
    <w:rsid w:val="009C6D9B"/>
    <w:rsid w:val="009C710C"/>
    <w:rsid w:val="009C751E"/>
    <w:rsid w:val="009C788A"/>
    <w:rsid w:val="009C79FC"/>
    <w:rsid w:val="009C7C0A"/>
    <w:rsid w:val="009C7DD6"/>
    <w:rsid w:val="009D0683"/>
    <w:rsid w:val="009D12C1"/>
    <w:rsid w:val="009D19A4"/>
    <w:rsid w:val="009D1D71"/>
    <w:rsid w:val="009D211D"/>
    <w:rsid w:val="009D21F8"/>
    <w:rsid w:val="009D31A9"/>
    <w:rsid w:val="009D3859"/>
    <w:rsid w:val="009D431A"/>
    <w:rsid w:val="009D485C"/>
    <w:rsid w:val="009D4B9A"/>
    <w:rsid w:val="009D4BE0"/>
    <w:rsid w:val="009D5E8D"/>
    <w:rsid w:val="009D6295"/>
    <w:rsid w:val="009D6508"/>
    <w:rsid w:val="009D6A0A"/>
    <w:rsid w:val="009D78FA"/>
    <w:rsid w:val="009D7AAF"/>
    <w:rsid w:val="009D7E24"/>
    <w:rsid w:val="009E0319"/>
    <w:rsid w:val="009E07B2"/>
    <w:rsid w:val="009E1289"/>
    <w:rsid w:val="009E1B92"/>
    <w:rsid w:val="009E1BC6"/>
    <w:rsid w:val="009E1F09"/>
    <w:rsid w:val="009E2174"/>
    <w:rsid w:val="009E25DB"/>
    <w:rsid w:val="009E336D"/>
    <w:rsid w:val="009E38AB"/>
    <w:rsid w:val="009E42F8"/>
    <w:rsid w:val="009E43C5"/>
    <w:rsid w:val="009E501C"/>
    <w:rsid w:val="009E54DA"/>
    <w:rsid w:val="009E562E"/>
    <w:rsid w:val="009E58CE"/>
    <w:rsid w:val="009E5DD0"/>
    <w:rsid w:val="009E5F71"/>
    <w:rsid w:val="009E63C0"/>
    <w:rsid w:val="009E664F"/>
    <w:rsid w:val="009E6CD2"/>
    <w:rsid w:val="009E6E23"/>
    <w:rsid w:val="009E6FE7"/>
    <w:rsid w:val="009E73A4"/>
    <w:rsid w:val="009E75B2"/>
    <w:rsid w:val="009E796D"/>
    <w:rsid w:val="009F039B"/>
    <w:rsid w:val="009F050F"/>
    <w:rsid w:val="009F0C51"/>
    <w:rsid w:val="009F168F"/>
    <w:rsid w:val="009F17C0"/>
    <w:rsid w:val="009F3603"/>
    <w:rsid w:val="009F3769"/>
    <w:rsid w:val="009F47C8"/>
    <w:rsid w:val="009F49F1"/>
    <w:rsid w:val="009F4CB8"/>
    <w:rsid w:val="009F5D44"/>
    <w:rsid w:val="009F5F16"/>
    <w:rsid w:val="009F5F1D"/>
    <w:rsid w:val="009F6671"/>
    <w:rsid w:val="009F6B2C"/>
    <w:rsid w:val="009F6B4C"/>
    <w:rsid w:val="009F6CD9"/>
    <w:rsid w:val="009F709E"/>
    <w:rsid w:val="009F73DE"/>
    <w:rsid w:val="009F75E4"/>
    <w:rsid w:val="009F7DF3"/>
    <w:rsid w:val="00A006FD"/>
    <w:rsid w:val="00A00A09"/>
    <w:rsid w:val="00A00B0E"/>
    <w:rsid w:val="00A00F6C"/>
    <w:rsid w:val="00A011CB"/>
    <w:rsid w:val="00A014F4"/>
    <w:rsid w:val="00A0152D"/>
    <w:rsid w:val="00A01D23"/>
    <w:rsid w:val="00A01D99"/>
    <w:rsid w:val="00A01E41"/>
    <w:rsid w:val="00A0213B"/>
    <w:rsid w:val="00A02486"/>
    <w:rsid w:val="00A0260E"/>
    <w:rsid w:val="00A027B3"/>
    <w:rsid w:val="00A02A96"/>
    <w:rsid w:val="00A03124"/>
    <w:rsid w:val="00A036C2"/>
    <w:rsid w:val="00A036DA"/>
    <w:rsid w:val="00A03718"/>
    <w:rsid w:val="00A0420B"/>
    <w:rsid w:val="00A04288"/>
    <w:rsid w:val="00A0446F"/>
    <w:rsid w:val="00A0451B"/>
    <w:rsid w:val="00A048FF"/>
    <w:rsid w:val="00A0496C"/>
    <w:rsid w:val="00A04D0F"/>
    <w:rsid w:val="00A05108"/>
    <w:rsid w:val="00A0523F"/>
    <w:rsid w:val="00A056C4"/>
    <w:rsid w:val="00A057EB"/>
    <w:rsid w:val="00A0585C"/>
    <w:rsid w:val="00A063BF"/>
    <w:rsid w:val="00A06821"/>
    <w:rsid w:val="00A06A13"/>
    <w:rsid w:val="00A06F60"/>
    <w:rsid w:val="00A076D0"/>
    <w:rsid w:val="00A0779E"/>
    <w:rsid w:val="00A078CF"/>
    <w:rsid w:val="00A07EF4"/>
    <w:rsid w:val="00A10292"/>
    <w:rsid w:val="00A10530"/>
    <w:rsid w:val="00A10818"/>
    <w:rsid w:val="00A1095B"/>
    <w:rsid w:val="00A10E3E"/>
    <w:rsid w:val="00A11615"/>
    <w:rsid w:val="00A1182B"/>
    <w:rsid w:val="00A11AB6"/>
    <w:rsid w:val="00A11B19"/>
    <w:rsid w:val="00A11C93"/>
    <w:rsid w:val="00A11D85"/>
    <w:rsid w:val="00A12340"/>
    <w:rsid w:val="00A128D1"/>
    <w:rsid w:val="00A12AB2"/>
    <w:rsid w:val="00A12D60"/>
    <w:rsid w:val="00A13473"/>
    <w:rsid w:val="00A13D67"/>
    <w:rsid w:val="00A140F8"/>
    <w:rsid w:val="00A14632"/>
    <w:rsid w:val="00A1480D"/>
    <w:rsid w:val="00A148BC"/>
    <w:rsid w:val="00A1491B"/>
    <w:rsid w:val="00A14AF7"/>
    <w:rsid w:val="00A14B5C"/>
    <w:rsid w:val="00A14D9A"/>
    <w:rsid w:val="00A14E8E"/>
    <w:rsid w:val="00A15094"/>
    <w:rsid w:val="00A1606C"/>
    <w:rsid w:val="00A160D2"/>
    <w:rsid w:val="00A16411"/>
    <w:rsid w:val="00A16460"/>
    <w:rsid w:val="00A1658B"/>
    <w:rsid w:val="00A1665B"/>
    <w:rsid w:val="00A1675A"/>
    <w:rsid w:val="00A16C86"/>
    <w:rsid w:val="00A175D4"/>
    <w:rsid w:val="00A17E12"/>
    <w:rsid w:val="00A2050C"/>
    <w:rsid w:val="00A206DC"/>
    <w:rsid w:val="00A207D4"/>
    <w:rsid w:val="00A2082C"/>
    <w:rsid w:val="00A208F7"/>
    <w:rsid w:val="00A2190D"/>
    <w:rsid w:val="00A21C3A"/>
    <w:rsid w:val="00A22680"/>
    <w:rsid w:val="00A22B53"/>
    <w:rsid w:val="00A23433"/>
    <w:rsid w:val="00A237FE"/>
    <w:rsid w:val="00A24FA4"/>
    <w:rsid w:val="00A25708"/>
    <w:rsid w:val="00A2582A"/>
    <w:rsid w:val="00A25CB1"/>
    <w:rsid w:val="00A25F0F"/>
    <w:rsid w:val="00A2624C"/>
    <w:rsid w:val="00A26665"/>
    <w:rsid w:val="00A27335"/>
    <w:rsid w:val="00A27362"/>
    <w:rsid w:val="00A274B5"/>
    <w:rsid w:val="00A27506"/>
    <w:rsid w:val="00A27CFC"/>
    <w:rsid w:val="00A300C8"/>
    <w:rsid w:val="00A307AC"/>
    <w:rsid w:val="00A31288"/>
    <w:rsid w:val="00A313C3"/>
    <w:rsid w:val="00A3206E"/>
    <w:rsid w:val="00A3208B"/>
    <w:rsid w:val="00A32AEF"/>
    <w:rsid w:val="00A32D5E"/>
    <w:rsid w:val="00A32EF3"/>
    <w:rsid w:val="00A334AC"/>
    <w:rsid w:val="00A33745"/>
    <w:rsid w:val="00A3464E"/>
    <w:rsid w:val="00A34B01"/>
    <w:rsid w:val="00A34D7E"/>
    <w:rsid w:val="00A35321"/>
    <w:rsid w:val="00A36298"/>
    <w:rsid w:val="00A362A8"/>
    <w:rsid w:val="00A36301"/>
    <w:rsid w:val="00A364ED"/>
    <w:rsid w:val="00A366E4"/>
    <w:rsid w:val="00A36D37"/>
    <w:rsid w:val="00A40644"/>
    <w:rsid w:val="00A407B4"/>
    <w:rsid w:val="00A4144C"/>
    <w:rsid w:val="00A41AE5"/>
    <w:rsid w:val="00A41EA0"/>
    <w:rsid w:val="00A4208F"/>
    <w:rsid w:val="00A42F93"/>
    <w:rsid w:val="00A43276"/>
    <w:rsid w:val="00A43D5F"/>
    <w:rsid w:val="00A44379"/>
    <w:rsid w:val="00A446A4"/>
    <w:rsid w:val="00A44F08"/>
    <w:rsid w:val="00A451D4"/>
    <w:rsid w:val="00A46696"/>
    <w:rsid w:val="00A46BF4"/>
    <w:rsid w:val="00A4707A"/>
    <w:rsid w:val="00A47835"/>
    <w:rsid w:val="00A47C04"/>
    <w:rsid w:val="00A501E3"/>
    <w:rsid w:val="00A507DF"/>
    <w:rsid w:val="00A50CE4"/>
    <w:rsid w:val="00A51659"/>
    <w:rsid w:val="00A51D77"/>
    <w:rsid w:val="00A521C7"/>
    <w:rsid w:val="00A521D9"/>
    <w:rsid w:val="00A529B4"/>
    <w:rsid w:val="00A5315A"/>
    <w:rsid w:val="00A532B0"/>
    <w:rsid w:val="00A53469"/>
    <w:rsid w:val="00A53FEE"/>
    <w:rsid w:val="00A541DE"/>
    <w:rsid w:val="00A5466D"/>
    <w:rsid w:val="00A547F5"/>
    <w:rsid w:val="00A54992"/>
    <w:rsid w:val="00A549B4"/>
    <w:rsid w:val="00A550C6"/>
    <w:rsid w:val="00A551C6"/>
    <w:rsid w:val="00A55FBC"/>
    <w:rsid w:val="00A56747"/>
    <w:rsid w:val="00A567FE"/>
    <w:rsid w:val="00A57141"/>
    <w:rsid w:val="00A57264"/>
    <w:rsid w:val="00A57333"/>
    <w:rsid w:val="00A57B1F"/>
    <w:rsid w:val="00A60478"/>
    <w:rsid w:val="00A60A94"/>
    <w:rsid w:val="00A60B06"/>
    <w:rsid w:val="00A60C13"/>
    <w:rsid w:val="00A60C8A"/>
    <w:rsid w:val="00A610A7"/>
    <w:rsid w:val="00A610E5"/>
    <w:rsid w:val="00A6131E"/>
    <w:rsid w:val="00A61791"/>
    <w:rsid w:val="00A6192A"/>
    <w:rsid w:val="00A61CE3"/>
    <w:rsid w:val="00A61D0E"/>
    <w:rsid w:val="00A62785"/>
    <w:rsid w:val="00A62935"/>
    <w:rsid w:val="00A62EF3"/>
    <w:rsid w:val="00A63475"/>
    <w:rsid w:val="00A6497B"/>
    <w:rsid w:val="00A65650"/>
    <w:rsid w:val="00A668C9"/>
    <w:rsid w:val="00A669C2"/>
    <w:rsid w:val="00A670B0"/>
    <w:rsid w:val="00A674E1"/>
    <w:rsid w:val="00A67622"/>
    <w:rsid w:val="00A676B2"/>
    <w:rsid w:val="00A6782D"/>
    <w:rsid w:val="00A678EA"/>
    <w:rsid w:val="00A6790B"/>
    <w:rsid w:val="00A70503"/>
    <w:rsid w:val="00A70897"/>
    <w:rsid w:val="00A70F1D"/>
    <w:rsid w:val="00A71441"/>
    <w:rsid w:val="00A71C32"/>
    <w:rsid w:val="00A7220E"/>
    <w:rsid w:val="00A72524"/>
    <w:rsid w:val="00A729F2"/>
    <w:rsid w:val="00A72CDA"/>
    <w:rsid w:val="00A73017"/>
    <w:rsid w:val="00A731BB"/>
    <w:rsid w:val="00A73F8A"/>
    <w:rsid w:val="00A74139"/>
    <w:rsid w:val="00A74374"/>
    <w:rsid w:val="00A746B9"/>
    <w:rsid w:val="00A75C0C"/>
    <w:rsid w:val="00A762A6"/>
    <w:rsid w:val="00A76E92"/>
    <w:rsid w:val="00A7737C"/>
    <w:rsid w:val="00A776ED"/>
    <w:rsid w:val="00A77E4F"/>
    <w:rsid w:val="00A8009F"/>
    <w:rsid w:val="00A80270"/>
    <w:rsid w:val="00A803E8"/>
    <w:rsid w:val="00A80687"/>
    <w:rsid w:val="00A809A7"/>
    <w:rsid w:val="00A8100A"/>
    <w:rsid w:val="00A8104E"/>
    <w:rsid w:val="00A8179B"/>
    <w:rsid w:val="00A81B25"/>
    <w:rsid w:val="00A81B77"/>
    <w:rsid w:val="00A81BC1"/>
    <w:rsid w:val="00A832C4"/>
    <w:rsid w:val="00A836B4"/>
    <w:rsid w:val="00A848D8"/>
    <w:rsid w:val="00A84BE4"/>
    <w:rsid w:val="00A84D61"/>
    <w:rsid w:val="00A84F7C"/>
    <w:rsid w:val="00A856C1"/>
    <w:rsid w:val="00A8572B"/>
    <w:rsid w:val="00A86149"/>
    <w:rsid w:val="00A8686E"/>
    <w:rsid w:val="00A86CD2"/>
    <w:rsid w:val="00A86F3E"/>
    <w:rsid w:val="00A87F94"/>
    <w:rsid w:val="00A9056F"/>
    <w:rsid w:val="00A91719"/>
    <w:rsid w:val="00A92078"/>
    <w:rsid w:val="00A9216C"/>
    <w:rsid w:val="00A92907"/>
    <w:rsid w:val="00A92AF6"/>
    <w:rsid w:val="00A92E81"/>
    <w:rsid w:val="00A93594"/>
    <w:rsid w:val="00A936D3"/>
    <w:rsid w:val="00A93A47"/>
    <w:rsid w:val="00A93C5B"/>
    <w:rsid w:val="00A942BB"/>
    <w:rsid w:val="00A94E0B"/>
    <w:rsid w:val="00A94F1F"/>
    <w:rsid w:val="00A95527"/>
    <w:rsid w:val="00A96082"/>
    <w:rsid w:val="00A963D5"/>
    <w:rsid w:val="00A96873"/>
    <w:rsid w:val="00A96AF7"/>
    <w:rsid w:val="00A96B60"/>
    <w:rsid w:val="00A96D28"/>
    <w:rsid w:val="00A97AF0"/>
    <w:rsid w:val="00AA0AC3"/>
    <w:rsid w:val="00AA0FBC"/>
    <w:rsid w:val="00AA1014"/>
    <w:rsid w:val="00AA10F9"/>
    <w:rsid w:val="00AA1F4A"/>
    <w:rsid w:val="00AA2735"/>
    <w:rsid w:val="00AA3229"/>
    <w:rsid w:val="00AA395D"/>
    <w:rsid w:val="00AA3B94"/>
    <w:rsid w:val="00AA3C04"/>
    <w:rsid w:val="00AA43D1"/>
    <w:rsid w:val="00AA58F7"/>
    <w:rsid w:val="00AA6304"/>
    <w:rsid w:val="00AA63E6"/>
    <w:rsid w:val="00AA648F"/>
    <w:rsid w:val="00AA6753"/>
    <w:rsid w:val="00AA6B21"/>
    <w:rsid w:val="00AA6E4F"/>
    <w:rsid w:val="00AA7634"/>
    <w:rsid w:val="00AA7669"/>
    <w:rsid w:val="00AA79D0"/>
    <w:rsid w:val="00AA7D37"/>
    <w:rsid w:val="00AA7E91"/>
    <w:rsid w:val="00AA7EC2"/>
    <w:rsid w:val="00AB011C"/>
    <w:rsid w:val="00AB0A20"/>
    <w:rsid w:val="00AB0C08"/>
    <w:rsid w:val="00AB1A8C"/>
    <w:rsid w:val="00AB1B16"/>
    <w:rsid w:val="00AB21F1"/>
    <w:rsid w:val="00AB2404"/>
    <w:rsid w:val="00AB2945"/>
    <w:rsid w:val="00AB2A50"/>
    <w:rsid w:val="00AB2BFB"/>
    <w:rsid w:val="00AB2E9C"/>
    <w:rsid w:val="00AB317C"/>
    <w:rsid w:val="00AB3C31"/>
    <w:rsid w:val="00AB3DE3"/>
    <w:rsid w:val="00AB3FDD"/>
    <w:rsid w:val="00AB435E"/>
    <w:rsid w:val="00AB48D5"/>
    <w:rsid w:val="00AB4E02"/>
    <w:rsid w:val="00AB5EC1"/>
    <w:rsid w:val="00AB76DD"/>
    <w:rsid w:val="00AB7B5F"/>
    <w:rsid w:val="00AB7DF5"/>
    <w:rsid w:val="00AC0DEA"/>
    <w:rsid w:val="00AC0F79"/>
    <w:rsid w:val="00AC157D"/>
    <w:rsid w:val="00AC15C6"/>
    <w:rsid w:val="00AC1B17"/>
    <w:rsid w:val="00AC3774"/>
    <w:rsid w:val="00AC3BB4"/>
    <w:rsid w:val="00AC44AD"/>
    <w:rsid w:val="00AC4714"/>
    <w:rsid w:val="00AC4938"/>
    <w:rsid w:val="00AC6374"/>
    <w:rsid w:val="00AC6534"/>
    <w:rsid w:val="00AC6C82"/>
    <w:rsid w:val="00AC700D"/>
    <w:rsid w:val="00AC7186"/>
    <w:rsid w:val="00AC7F0C"/>
    <w:rsid w:val="00AD0108"/>
    <w:rsid w:val="00AD014A"/>
    <w:rsid w:val="00AD0306"/>
    <w:rsid w:val="00AD0576"/>
    <w:rsid w:val="00AD0701"/>
    <w:rsid w:val="00AD07AC"/>
    <w:rsid w:val="00AD0BC9"/>
    <w:rsid w:val="00AD1F8A"/>
    <w:rsid w:val="00AD27CF"/>
    <w:rsid w:val="00AD2BE1"/>
    <w:rsid w:val="00AD352D"/>
    <w:rsid w:val="00AD36DF"/>
    <w:rsid w:val="00AD36E1"/>
    <w:rsid w:val="00AD379D"/>
    <w:rsid w:val="00AD3CE7"/>
    <w:rsid w:val="00AD457D"/>
    <w:rsid w:val="00AD471F"/>
    <w:rsid w:val="00AD4BD0"/>
    <w:rsid w:val="00AD535B"/>
    <w:rsid w:val="00AD5907"/>
    <w:rsid w:val="00AD5D73"/>
    <w:rsid w:val="00AD5E8B"/>
    <w:rsid w:val="00AD6054"/>
    <w:rsid w:val="00AD6805"/>
    <w:rsid w:val="00AD7318"/>
    <w:rsid w:val="00AD7F3E"/>
    <w:rsid w:val="00AE0B2D"/>
    <w:rsid w:val="00AE0D74"/>
    <w:rsid w:val="00AE0F02"/>
    <w:rsid w:val="00AE183B"/>
    <w:rsid w:val="00AE2729"/>
    <w:rsid w:val="00AE279C"/>
    <w:rsid w:val="00AE2827"/>
    <w:rsid w:val="00AE2859"/>
    <w:rsid w:val="00AE2D09"/>
    <w:rsid w:val="00AE36E4"/>
    <w:rsid w:val="00AE46E4"/>
    <w:rsid w:val="00AE4825"/>
    <w:rsid w:val="00AE49F9"/>
    <w:rsid w:val="00AE4A11"/>
    <w:rsid w:val="00AE4C20"/>
    <w:rsid w:val="00AE4CF6"/>
    <w:rsid w:val="00AE5671"/>
    <w:rsid w:val="00AE64EB"/>
    <w:rsid w:val="00AE6959"/>
    <w:rsid w:val="00AE69F2"/>
    <w:rsid w:val="00AE7117"/>
    <w:rsid w:val="00AE7650"/>
    <w:rsid w:val="00AE78D2"/>
    <w:rsid w:val="00AE7913"/>
    <w:rsid w:val="00AE79CF"/>
    <w:rsid w:val="00AF0069"/>
    <w:rsid w:val="00AF0885"/>
    <w:rsid w:val="00AF0B33"/>
    <w:rsid w:val="00AF0BAC"/>
    <w:rsid w:val="00AF0BFD"/>
    <w:rsid w:val="00AF0E8E"/>
    <w:rsid w:val="00AF1C4B"/>
    <w:rsid w:val="00AF1CF7"/>
    <w:rsid w:val="00AF202C"/>
    <w:rsid w:val="00AF229A"/>
    <w:rsid w:val="00AF2318"/>
    <w:rsid w:val="00AF291B"/>
    <w:rsid w:val="00AF2939"/>
    <w:rsid w:val="00AF29F3"/>
    <w:rsid w:val="00AF2A4E"/>
    <w:rsid w:val="00AF2CA6"/>
    <w:rsid w:val="00AF3614"/>
    <w:rsid w:val="00AF3837"/>
    <w:rsid w:val="00AF3AE0"/>
    <w:rsid w:val="00AF4068"/>
    <w:rsid w:val="00AF4142"/>
    <w:rsid w:val="00AF55B4"/>
    <w:rsid w:val="00AF654C"/>
    <w:rsid w:val="00AF6A39"/>
    <w:rsid w:val="00AF756B"/>
    <w:rsid w:val="00AF7AD0"/>
    <w:rsid w:val="00B0063F"/>
    <w:rsid w:val="00B006AD"/>
    <w:rsid w:val="00B00B19"/>
    <w:rsid w:val="00B010AA"/>
    <w:rsid w:val="00B012C2"/>
    <w:rsid w:val="00B01384"/>
    <w:rsid w:val="00B01DF3"/>
    <w:rsid w:val="00B0238B"/>
    <w:rsid w:val="00B024AE"/>
    <w:rsid w:val="00B02748"/>
    <w:rsid w:val="00B04263"/>
    <w:rsid w:val="00B0449F"/>
    <w:rsid w:val="00B046E3"/>
    <w:rsid w:val="00B04797"/>
    <w:rsid w:val="00B04B84"/>
    <w:rsid w:val="00B051BB"/>
    <w:rsid w:val="00B0607F"/>
    <w:rsid w:val="00B063E1"/>
    <w:rsid w:val="00B066E5"/>
    <w:rsid w:val="00B068A4"/>
    <w:rsid w:val="00B07168"/>
    <w:rsid w:val="00B077D4"/>
    <w:rsid w:val="00B07E7C"/>
    <w:rsid w:val="00B07FCA"/>
    <w:rsid w:val="00B10428"/>
    <w:rsid w:val="00B10876"/>
    <w:rsid w:val="00B115B4"/>
    <w:rsid w:val="00B118C8"/>
    <w:rsid w:val="00B11BD8"/>
    <w:rsid w:val="00B11BEA"/>
    <w:rsid w:val="00B12177"/>
    <w:rsid w:val="00B126EC"/>
    <w:rsid w:val="00B12D49"/>
    <w:rsid w:val="00B12D9A"/>
    <w:rsid w:val="00B133A5"/>
    <w:rsid w:val="00B13712"/>
    <w:rsid w:val="00B13EB9"/>
    <w:rsid w:val="00B154AD"/>
    <w:rsid w:val="00B15551"/>
    <w:rsid w:val="00B156F8"/>
    <w:rsid w:val="00B15996"/>
    <w:rsid w:val="00B15B39"/>
    <w:rsid w:val="00B15C92"/>
    <w:rsid w:val="00B15D4A"/>
    <w:rsid w:val="00B15F75"/>
    <w:rsid w:val="00B15F7A"/>
    <w:rsid w:val="00B16A78"/>
    <w:rsid w:val="00B170AD"/>
    <w:rsid w:val="00B17401"/>
    <w:rsid w:val="00B178B9"/>
    <w:rsid w:val="00B17E97"/>
    <w:rsid w:val="00B17F05"/>
    <w:rsid w:val="00B20719"/>
    <w:rsid w:val="00B20FAB"/>
    <w:rsid w:val="00B20FD8"/>
    <w:rsid w:val="00B21B7F"/>
    <w:rsid w:val="00B21C4B"/>
    <w:rsid w:val="00B223FC"/>
    <w:rsid w:val="00B23074"/>
    <w:rsid w:val="00B23B23"/>
    <w:rsid w:val="00B23F97"/>
    <w:rsid w:val="00B24158"/>
    <w:rsid w:val="00B2417B"/>
    <w:rsid w:val="00B24868"/>
    <w:rsid w:val="00B24BDC"/>
    <w:rsid w:val="00B24D02"/>
    <w:rsid w:val="00B25258"/>
    <w:rsid w:val="00B25463"/>
    <w:rsid w:val="00B26903"/>
    <w:rsid w:val="00B26C8A"/>
    <w:rsid w:val="00B26D67"/>
    <w:rsid w:val="00B2725A"/>
    <w:rsid w:val="00B278BC"/>
    <w:rsid w:val="00B2798F"/>
    <w:rsid w:val="00B30614"/>
    <w:rsid w:val="00B3088C"/>
    <w:rsid w:val="00B30FF0"/>
    <w:rsid w:val="00B31295"/>
    <w:rsid w:val="00B31602"/>
    <w:rsid w:val="00B3217F"/>
    <w:rsid w:val="00B330BE"/>
    <w:rsid w:val="00B332A9"/>
    <w:rsid w:val="00B342E6"/>
    <w:rsid w:val="00B343A0"/>
    <w:rsid w:val="00B343F4"/>
    <w:rsid w:val="00B345D9"/>
    <w:rsid w:val="00B346DB"/>
    <w:rsid w:val="00B3474F"/>
    <w:rsid w:val="00B34845"/>
    <w:rsid w:val="00B354A8"/>
    <w:rsid w:val="00B35D48"/>
    <w:rsid w:val="00B360B3"/>
    <w:rsid w:val="00B36760"/>
    <w:rsid w:val="00B369DA"/>
    <w:rsid w:val="00B3700D"/>
    <w:rsid w:val="00B3776D"/>
    <w:rsid w:val="00B37816"/>
    <w:rsid w:val="00B37834"/>
    <w:rsid w:val="00B3790C"/>
    <w:rsid w:val="00B4055E"/>
    <w:rsid w:val="00B40700"/>
    <w:rsid w:val="00B40A27"/>
    <w:rsid w:val="00B41121"/>
    <w:rsid w:val="00B413DD"/>
    <w:rsid w:val="00B41B21"/>
    <w:rsid w:val="00B41B95"/>
    <w:rsid w:val="00B41BA3"/>
    <w:rsid w:val="00B42517"/>
    <w:rsid w:val="00B42BF2"/>
    <w:rsid w:val="00B42C50"/>
    <w:rsid w:val="00B43722"/>
    <w:rsid w:val="00B438F2"/>
    <w:rsid w:val="00B43DD9"/>
    <w:rsid w:val="00B4426B"/>
    <w:rsid w:val="00B44D7B"/>
    <w:rsid w:val="00B44FC3"/>
    <w:rsid w:val="00B450CD"/>
    <w:rsid w:val="00B45145"/>
    <w:rsid w:val="00B45755"/>
    <w:rsid w:val="00B45EDF"/>
    <w:rsid w:val="00B469F8"/>
    <w:rsid w:val="00B46EA1"/>
    <w:rsid w:val="00B47286"/>
    <w:rsid w:val="00B472FF"/>
    <w:rsid w:val="00B47A63"/>
    <w:rsid w:val="00B47ED1"/>
    <w:rsid w:val="00B47F8C"/>
    <w:rsid w:val="00B5024F"/>
    <w:rsid w:val="00B506CC"/>
    <w:rsid w:val="00B50E44"/>
    <w:rsid w:val="00B5162E"/>
    <w:rsid w:val="00B51E82"/>
    <w:rsid w:val="00B520AD"/>
    <w:rsid w:val="00B521E6"/>
    <w:rsid w:val="00B524CB"/>
    <w:rsid w:val="00B5253A"/>
    <w:rsid w:val="00B52ED8"/>
    <w:rsid w:val="00B53020"/>
    <w:rsid w:val="00B5320E"/>
    <w:rsid w:val="00B555CA"/>
    <w:rsid w:val="00B55DBA"/>
    <w:rsid w:val="00B5691F"/>
    <w:rsid w:val="00B56C77"/>
    <w:rsid w:val="00B57222"/>
    <w:rsid w:val="00B5793A"/>
    <w:rsid w:val="00B6016E"/>
    <w:rsid w:val="00B6100E"/>
    <w:rsid w:val="00B61055"/>
    <w:rsid w:val="00B61631"/>
    <w:rsid w:val="00B61C23"/>
    <w:rsid w:val="00B62361"/>
    <w:rsid w:val="00B6243C"/>
    <w:rsid w:val="00B627AE"/>
    <w:rsid w:val="00B6287C"/>
    <w:rsid w:val="00B62FC3"/>
    <w:rsid w:val="00B6341C"/>
    <w:rsid w:val="00B63594"/>
    <w:rsid w:val="00B635BE"/>
    <w:rsid w:val="00B63E68"/>
    <w:rsid w:val="00B6409B"/>
    <w:rsid w:val="00B6515E"/>
    <w:rsid w:val="00B65746"/>
    <w:rsid w:val="00B65AEC"/>
    <w:rsid w:val="00B65B0B"/>
    <w:rsid w:val="00B65C12"/>
    <w:rsid w:val="00B65ECF"/>
    <w:rsid w:val="00B66238"/>
    <w:rsid w:val="00B663A5"/>
    <w:rsid w:val="00B663B5"/>
    <w:rsid w:val="00B6664A"/>
    <w:rsid w:val="00B6732A"/>
    <w:rsid w:val="00B67631"/>
    <w:rsid w:val="00B703CE"/>
    <w:rsid w:val="00B709F7"/>
    <w:rsid w:val="00B70C60"/>
    <w:rsid w:val="00B710D9"/>
    <w:rsid w:val="00B71213"/>
    <w:rsid w:val="00B71B2C"/>
    <w:rsid w:val="00B71D69"/>
    <w:rsid w:val="00B72412"/>
    <w:rsid w:val="00B726F4"/>
    <w:rsid w:val="00B729B0"/>
    <w:rsid w:val="00B72ED7"/>
    <w:rsid w:val="00B73889"/>
    <w:rsid w:val="00B7395F"/>
    <w:rsid w:val="00B74261"/>
    <w:rsid w:val="00B746FB"/>
    <w:rsid w:val="00B74C7A"/>
    <w:rsid w:val="00B75119"/>
    <w:rsid w:val="00B751A5"/>
    <w:rsid w:val="00B75D92"/>
    <w:rsid w:val="00B75EF9"/>
    <w:rsid w:val="00B767F8"/>
    <w:rsid w:val="00B769DA"/>
    <w:rsid w:val="00B76CBE"/>
    <w:rsid w:val="00B76F66"/>
    <w:rsid w:val="00B770F9"/>
    <w:rsid w:val="00B77227"/>
    <w:rsid w:val="00B77305"/>
    <w:rsid w:val="00B779D5"/>
    <w:rsid w:val="00B77AC0"/>
    <w:rsid w:val="00B77F9F"/>
    <w:rsid w:val="00B77FA4"/>
    <w:rsid w:val="00B804EE"/>
    <w:rsid w:val="00B805CA"/>
    <w:rsid w:val="00B80B10"/>
    <w:rsid w:val="00B80B6A"/>
    <w:rsid w:val="00B80B80"/>
    <w:rsid w:val="00B80E3F"/>
    <w:rsid w:val="00B81087"/>
    <w:rsid w:val="00B81293"/>
    <w:rsid w:val="00B812D6"/>
    <w:rsid w:val="00B8151C"/>
    <w:rsid w:val="00B8319A"/>
    <w:rsid w:val="00B832B7"/>
    <w:rsid w:val="00B8339B"/>
    <w:rsid w:val="00B839A8"/>
    <w:rsid w:val="00B83F05"/>
    <w:rsid w:val="00B8478E"/>
    <w:rsid w:val="00B847CA"/>
    <w:rsid w:val="00B84DC3"/>
    <w:rsid w:val="00B84E9A"/>
    <w:rsid w:val="00B84F4B"/>
    <w:rsid w:val="00B851F2"/>
    <w:rsid w:val="00B85E60"/>
    <w:rsid w:val="00B85F07"/>
    <w:rsid w:val="00B8615B"/>
    <w:rsid w:val="00B86342"/>
    <w:rsid w:val="00B86DF6"/>
    <w:rsid w:val="00B86FCD"/>
    <w:rsid w:val="00B870D8"/>
    <w:rsid w:val="00B87EE1"/>
    <w:rsid w:val="00B900CB"/>
    <w:rsid w:val="00B9025D"/>
    <w:rsid w:val="00B90721"/>
    <w:rsid w:val="00B90DA5"/>
    <w:rsid w:val="00B90E20"/>
    <w:rsid w:val="00B91260"/>
    <w:rsid w:val="00B9149D"/>
    <w:rsid w:val="00B91BB3"/>
    <w:rsid w:val="00B9250F"/>
    <w:rsid w:val="00B926CC"/>
    <w:rsid w:val="00B93C1D"/>
    <w:rsid w:val="00B93CC0"/>
    <w:rsid w:val="00B93EA6"/>
    <w:rsid w:val="00B93EDD"/>
    <w:rsid w:val="00B94098"/>
    <w:rsid w:val="00B94721"/>
    <w:rsid w:val="00B9472E"/>
    <w:rsid w:val="00B949EF"/>
    <w:rsid w:val="00B94C5B"/>
    <w:rsid w:val="00B94FDA"/>
    <w:rsid w:val="00B95857"/>
    <w:rsid w:val="00B95ADD"/>
    <w:rsid w:val="00B965C8"/>
    <w:rsid w:val="00B97464"/>
    <w:rsid w:val="00B97BAD"/>
    <w:rsid w:val="00BA02C8"/>
    <w:rsid w:val="00BA0695"/>
    <w:rsid w:val="00BA0CDD"/>
    <w:rsid w:val="00BA0D97"/>
    <w:rsid w:val="00BA160C"/>
    <w:rsid w:val="00BA20C1"/>
    <w:rsid w:val="00BA27EE"/>
    <w:rsid w:val="00BA2BE9"/>
    <w:rsid w:val="00BA352C"/>
    <w:rsid w:val="00BA3B2A"/>
    <w:rsid w:val="00BA3B6B"/>
    <w:rsid w:val="00BA3B7B"/>
    <w:rsid w:val="00BA3EA1"/>
    <w:rsid w:val="00BA40D4"/>
    <w:rsid w:val="00BA42CF"/>
    <w:rsid w:val="00BA4726"/>
    <w:rsid w:val="00BA5077"/>
    <w:rsid w:val="00BA50BD"/>
    <w:rsid w:val="00BA588C"/>
    <w:rsid w:val="00BA5AE2"/>
    <w:rsid w:val="00BA5BA5"/>
    <w:rsid w:val="00BA6103"/>
    <w:rsid w:val="00BA6424"/>
    <w:rsid w:val="00BA77B8"/>
    <w:rsid w:val="00BB0204"/>
    <w:rsid w:val="00BB047A"/>
    <w:rsid w:val="00BB04FF"/>
    <w:rsid w:val="00BB05AE"/>
    <w:rsid w:val="00BB0A7E"/>
    <w:rsid w:val="00BB12F5"/>
    <w:rsid w:val="00BB1794"/>
    <w:rsid w:val="00BB186C"/>
    <w:rsid w:val="00BB1B87"/>
    <w:rsid w:val="00BB1C7D"/>
    <w:rsid w:val="00BB2312"/>
    <w:rsid w:val="00BB2B0C"/>
    <w:rsid w:val="00BB2B9A"/>
    <w:rsid w:val="00BB2DFF"/>
    <w:rsid w:val="00BB2ECB"/>
    <w:rsid w:val="00BB3223"/>
    <w:rsid w:val="00BB3238"/>
    <w:rsid w:val="00BB3477"/>
    <w:rsid w:val="00BB34B2"/>
    <w:rsid w:val="00BB353D"/>
    <w:rsid w:val="00BB382A"/>
    <w:rsid w:val="00BB41E3"/>
    <w:rsid w:val="00BB48D1"/>
    <w:rsid w:val="00BB4C63"/>
    <w:rsid w:val="00BB4C91"/>
    <w:rsid w:val="00BB4F79"/>
    <w:rsid w:val="00BB5174"/>
    <w:rsid w:val="00BB5623"/>
    <w:rsid w:val="00BB580E"/>
    <w:rsid w:val="00BB5C5C"/>
    <w:rsid w:val="00BB6DA5"/>
    <w:rsid w:val="00BB7144"/>
    <w:rsid w:val="00BC0780"/>
    <w:rsid w:val="00BC084B"/>
    <w:rsid w:val="00BC0858"/>
    <w:rsid w:val="00BC0AFA"/>
    <w:rsid w:val="00BC1AD2"/>
    <w:rsid w:val="00BC1F3E"/>
    <w:rsid w:val="00BC2294"/>
    <w:rsid w:val="00BC26C4"/>
    <w:rsid w:val="00BC2AFA"/>
    <w:rsid w:val="00BC2BA7"/>
    <w:rsid w:val="00BC327E"/>
    <w:rsid w:val="00BC3380"/>
    <w:rsid w:val="00BC3423"/>
    <w:rsid w:val="00BC35B1"/>
    <w:rsid w:val="00BC3768"/>
    <w:rsid w:val="00BC3997"/>
    <w:rsid w:val="00BC3A03"/>
    <w:rsid w:val="00BC3CA7"/>
    <w:rsid w:val="00BC4202"/>
    <w:rsid w:val="00BC4A47"/>
    <w:rsid w:val="00BC4DE5"/>
    <w:rsid w:val="00BC5639"/>
    <w:rsid w:val="00BC59B7"/>
    <w:rsid w:val="00BC5A24"/>
    <w:rsid w:val="00BC5CE5"/>
    <w:rsid w:val="00BC667C"/>
    <w:rsid w:val="00BC69EA"/>
    <w:rsid w:val="00BC6BE5"/>
    <w:rsid w:val="00BC6E0F"/>
    <w:rsid w:val="00BC7162"/>
    <w:rsid w:val="00BC7D15"/>
    <w:rsid w:val="00BD0617"/>
    <w:rsid w:val="00BD0947"/>
    <w:rsid w:val="00BD1049"/>
    <w:rsid w:val="00BD13B6"/>
    <w:rsid w:val="00BD1635"/>
    <w:rsid w:val="00BD1665"/>
    <w:rsid w:val="00BD171E"/>
    <w:rsid w:val="00BD22F6"/>
    <w:rsid w:val="00BD2958"/>
    <w:rsid w:val="00BD29EB"/>
    <w:rsid w:val="00BD2C46"/>
    <w:rsid w:val="00BD2E3B"/>
    <w:rsid w:val="00BD36B3"/>
    <w:rsid w:val="00BD3914"/>
    <w:rsid w:val="00BD3B1B"/>
    <w:rsid w:val="00BD44E1"/>
    <w:rsid w:val="00BD516C"/>
    <w:rsid w:val="00BD5922"/>
    <w:rsid w:val="00BD5D1E"/>
    <w:rsid w:val="00BD649B"/>
    <w:rsid w:val="00BD657D"/>
    <w:rsid w:val="00BD6A24"/>
    <w:rsid w:val="00BD71CF"/>
    <w:rsid w:val="00BD78CF"/>
    <w:rsid w:val="00BE02BA"/>
    <w:rsid w:val="00BE0AB1"/>
    <w:rsid w:val="00BE0B9C"/>
    <w:rsid w:val="00BE152E"/>
    <w:rsid w:val="00BE1640"/>
    <w:rsid w:val="00BE190A"/>
    <w:rsid w:val="00BE1B0C"/>
    <w:rsid w:val="00BE1B9B"/>
    <w:rsid w:val="00BE1ECB"/>
    <w:rsid w:val="00BE219E"/>
    <w:rsid w:val="00BE21DC"/>
    <w:rsid w:val="00BE22C4"/>
    <w:rsid w:val="00BE22E2"/>
    <w:rsid w:val="00BE3424"/>
    <w:rsid w:val="00BE4417"/>
    <w:rsid w:val="00BE46A5"/>
    <w:rsid w:val="00BE5021"/>
    <w:rsid w:val="00BE5372"/>
    <w:rsid w:val="00BE53B2"/>
    <w:rsid w:val="00BE5B22"/>
    <w:rsid w:val="00BE60E2"/>
    <w:rsid w:val="00BE63CC"/>
    <w:rsid w:val="00BE6497"/>
    <w:rsid w:val="00BE6BB0"/>
    <w:rsid w:val="00BE7376"/>
    <w:rsid w:val="00BE7535"/>
    <w:rsid w:val="00BE7688"/>
    <w:rsid w:val="00BE788A"/>
    <w:rsid w:val="00BE7C3D"/>
    <w:rsid w:val="00BE7E73"/>
    <w:rsid w:val="00BF00A9"/>
    <w:rsid w:val="00BF00C1"/>
    <w:rsid w:val="00BF01BF"/>
    <w:rsid w:val="00BF083D"/>
    <w:rsid w:val="00BF0E04"/>
    <w:rsid w:val="00BF133B"/>
    <w:rsid w:val="00BF168A"/>
    <w:rsid w:val="00BF1799"/>
    <w:rsid w:val="00BF17A7"/>
    <w:rsid w:val="00BF215C"/>
    <w:rsid w:val="00BF2935"/>
    <w:rsid w:val="00BF2B10"/>
    <w:rsid w:val="00BF2EA0"/>
    <w:rsid w:val="00BF3587"/>
    <w:rsid w:val="00BF37C9"/>
    <w:rsid w:val="00BF3B3B"/>
    <w:rsid w:val="00BF3D25"/>
    <w:rsid w:val="00BF3DFA"/>
    <w:rsid w:val="00BF4763"/>
    <w:rsid w:val="00BF5279"/>
    <w:rsid w:val="00BF60A4"/>
    <w:rsid w:val="00BF60CA"/>
    <w:rsid w:val="00BF6255"/>
    <w:rsid w:val="00BF66FC"/>
    <w:rsid w:val="00BF67F0"/>
    <w:rsid w:val="00BF6849"/>
    <w:rsid w:val="00BF70A3"/>
    <w:rsid w:val="00BF73A1"/>
    <w:rsid w:val="00BF7EED"/>
    <w:rsid w:val="00C00451"/>
    <w:rsid w:val="00C00464"/>
    <w:rsid w:val="00C00842"/>
    <w:rsid w:val="00C00E7F"/>
    <w:rsid w:val="00C01293"/>
    <w:rsid w:val="00C01294"/>
    <w:rsid w:val="00C012AB"/>
    <w:rsid w:val="00C01CB4"/>
    <w:rsid w:val="00C027E1"/>
    <w:rsid w:val="00C02C8B"/>
    <w:rsid w:val="00C02D77"/>
    <w:rsid w:val="00C032B3"/>
    <w:rsid w:val="00C03B33"/>
    <w:rsid w:val="00C04AC7"/>
    <w:rsid w:val="00C04DF8"/>
    <w:rsid w:val="00C04E31"/>
    <w:rsid w:val="00C04FCB"/>
    <w:rsid w:val="00C05089"/>
    <w:rsid w:val="00C050BB"/>
    <w:rsid w:val="00C05728"/>
    <w:rsid w:val="00C05838"/>
    <w:rsid w:val="00C05BDF"/>
    <w:rsid w:val="00C060E5"/>
    <w:rsid w:val="00C0626F"/>
    <w:rsid w:val="00C064F6"/>
    <w:rsid w:val="00C06B80"/>
    <w:rsid w:val="00C06D01"/>
    <w:rsid w:val="00C072AF"/>
    <w:rsid w:val="00C07A1E"/>
    <w:rsid w:val="00C07C20"/>
    <w:rsid w:val="00C07FA0"/>
    <w:rsid w:val="00C07FB4"/>
    <w:rsid w:val="00C11009"/>
    <w:rsid w:val="00C1118A"/>
    <w:rsid w:val="00C1129D"/>
    <w:rsid w:val="00C112C4"/>
    <w:rsid w:val="00C11414"/>
    <w:rsid w:val="00C118F1"/>
    <w:rsid w:val="00C11B47"/>
    <w:rsid w:val="00C12F37"/>
    <w:rsid w:val="00C12F8E"/>
    <w:rsid w:val="00C13313"/>
    <w:rsid w:val="00C13BC7"/>
    <w:rsid w:val="00C14222"/>
    <w:rsid w:val="00C14440"/>
    <w:rsid w:val="00C14981"/>
    <w:rsid w:val="00C14BC8"/>
    <w:rsid w:val="00C15DD8"/>
    <w:rsid w:val="00C163E2"/>
    <w:rsid w:val="00C16A5A"/>
    <w:rsid w:val="00C16E61"/>
    <w:rsid w:val="00C16F6B"/>
    <w:rsid w:val="00C17056"/>
    <w:rsid w:val="00C17120"/>
    <w:rsid w:val="00C176CB"/>
    <w:rsid w:val="00C17D7D"/>
    <w:rsid w:val="00C17E6C"/>
    <w:rsid w:val="00C20831"/>
    <w:rsid w:val="00C20857"/>
    <w:rsid w:val="00C2096B"/>
    <w:rsid w:val="00C211D1"/>
    <w:rsid w:val="00C21732"/>
    <w:rsid w:val="00C21E98"/>
    <w:rsid w:val="00C227B7"/>
    <w:rsid w:val="00C22AA8"/>
    <w:rsid w:val="00C230EA"/>
    <w:rsid w:val="00C2328C"/>
    <w:rsid w:val="00C233C8"/>
    <w:rsid w:val="00C23952"/>
    <w:rsid w:val="00C23AF8"/>
    <w:rsid w:val="00C23D7E"/>
    <w:rsid w:val="00C241C6"/>
    <w:rsid w:val="00C24356"/>
    <w:rsid w:val="00C24DA1"/>
    <w:rsid w:val="00C25084"/>
    <w:rsid w:val="00C26560"/>
    <w:rsid w:val="00C2670B"/>
    <w:rsid w:val="00C26A52"/>
    <w:rsid w:val="00C26C54"/>
    <w:rsid w:val="00C2711F"/>
    <w:rsid w:val="00C2722C"/>
    <w:rsid w:val="00C27B37"/>
    <w:rsid w:val="00C308B4"/>
    <w:rsid w:val="00C3117B"/>
    <w:rsid w:val="00C31EF9"/>
    <w:rsid w:val="00C32157"/>
    <w:rsid w:val="00C32941"/>
    <w:rsid w:val="00C3298B"/>
    <w:rsid w:val="00C33528"/>
    <w:rsid w:val="00C33748"/>
    <w:rsid w:val="00C34388"/>
    <w:rsid w:val="00C34B64"/>
    <w:rsid w:val="00C359BB"/>
    <w:rsid w:val="00C36094"/>
    <w:rsid w:val="00C36206"/>
    <w:rsid w:val="00C3641D"/>
    <w:rsid w:val="00C369AE"/>
    <w:rsid w:val="00C36A93"/>
    <w:rsid w:val="00C36D12"/>
    <w:rsid w:val="00C36D4E"/>
    <w:rsid w:val="00C373AE"/>
    <w:rsid w:val="00C373DB"/>
    <w:rsid w:val="00C37EF0"/>
    <w:rsid w:val="00C402D9"/>
    <w:rsid w:val="00C409CB"/>
    <w:rsid w:val="00C40FAC"/>
    <w:rsid w:val="00C4100E"/>
    <w:rsid w:val="00C42106"/>
    <w:rsid w:val="00C4233B"/>
    <w:rsid w:val="00C42F4A"/>
    <w:rsid w:val="00C43377"/>
    <w:rsid w:val="00C433B6"/>
    <w:rsid w:val="00C445DE"/>
    <w:rsid w:val="00C451DF"/>
    <w:rsid w:val="00C45578"/>
    <w:rsid w:val="00C4570D"/>
    <w:rsid w:val="00C45CED"/>
    <w:rsid w:val="00C45F82"/>
    <w:rsid w:val="00C46153"/>
    <w:rsid w:val="00C466F5"/>
    <w:rsid w:val="00C468B6"/>
    <w:rsid w:val="00C46AF1"/>
    <w:rsid w:val="00C472D7"/>
    <w:rsid w:val="00C47BE2"/>
    <w:rsid w:val="00C47C5F"/>
    <w:rsid w:val="00C47F10"/>
    <w:rsid w:val="00C506CF"/>
    <w:rsid w:val="00C50ACE"/>
    <w:rsid w:val="00C50EAE"/>
    <w:rsid w:val="00C51420"/>
    <w:rsid w:val="00C518BF"/>
    <w:rsid w:val="00C520D8"/>
    <w:rsid w:val="00C52FA8"/>
    <w:rsid w:val="00C530BC"/>
    <w:rsid w:val="00C532BA"/>
    <w:rsid w:val="00C53322"/>
    <w:rsid w:val="00C5388C"/>
    <w:rsid w:val="00C53A8F"/>
    <w:rsid w:val="00C53CD4"/>
    <w:rsid w:val="00C5430B"/>
    <w:rsid w:val="00C54883"/>
    <w:rsid w:val="00C54FFF"/>
    <w:rsid w:val="00C5529A"/>
    <w:rsid w:val="00C553C5"/>
    <w:rsid w:val="00C556B3"/>
    <w:rsid w:val="00C556E2"/>
    <w:rsid w:val="00C563C8"/>
    <w:rsid w:val="00C56433"/>
    <w:rsid w:val="00C56745"/>
    <w:rsid w:val="00C5717A"/>
    <w:rsid w:val="00C5737A"/>
    <w:rsid w:val="00C57874"/>
    <w:rsid w:val="00C57CCD"/>
    <w:rsid w:val="00C57E71"/>
    <w:rsid w:val="00C6014A"/>
    <w:rsid w:val="00C601D3"/>
    <w:rsid w:val="00C60494"/>
    <w:rsid w:val="00C60EDF"/>
    <w:rsid w:val="00C61B2A"/>
    <w:rsid w:val="00C61B8D"/>
    <w:rsid w:val="00C61BE5"/>
    <w:rsid w:val="00C61F75"/>
    <w:rsid w:val="00C6230D"/>
    <w:rsid w:val="00C6234A"/>
    <w:rsid w:val="00C62EF7"/>
    <w:rsid w:val="00C62F17"/>
    <w:rsid w:val="00C63318"/>
    <w:rsid w:val="00C637BF"/>
    <w:rsid w:val="00C63EDD"/>
    <w:rsid w:val="00C64AC0"/>
    <w:rsid w:val="00C64DA4"/>
    <w:rsid w:val="00C6551C"/>
    <w:rsid w:val="00C655C0"/>
    <w:rsid w:val="00C6563D"/>
    <w:rsid w:val="00C65A27"/>
    <w:rsid w:val="00C6743E"/>
    <w:rsid w:val="00C67909"/>
    <w:rsid w:val="00C67CC0"/>
    <w:rsid w:val="00C67EB6"/>
    <w:rsid w:val="00C700E6"/>
    <w:rsid w:val="00C7026D"/>
    <w:rsid w:val="00C70B39"/>
    <w:rsid w:val="00C70CE3"/>
    <w:rsid w:val="00C71A14"/>
    <w:rsid w:val="00C72A40"/>
    <w:rsid w:val="00C73BC9"/>
    <w:rsid w:val="00C742CC"/>
    <w:rsid w:val="00C74A6A"/>
    <w:rsid w:val="00C75172"/>
    <w:rsid w:val="00C75C47"/>
    <w:rsid w:val="00C7646D"/>
    <w:rsid w:val="00C769E2"/>
    <w:rsid w:val="00C76E97"/>
    <w:rsid w:val="00C77003"/>
    <w:rsid w:val="00C77006"/>
    <w:rsid w:val="00C7738E"/>
    <w:rsid w:val="00C7752C"/>
    <w:rsid w:val="00C7779C"/>
    <w:rsid w:val="00C77A7F"/>
    <w:rsid w:val="00C80078"/>
    <w:rsid w:val="00C8038C"/>
    <w:rsid w:val="00C804E3"/>
    <w:rsid w:val="00C80825"/>
    <w:rsid w:val="00C8121C"/>
    <w:rsid w:val="00C813B2"/>
    <w:rsid w:val="00C81875"/>
    <w:rsid w:val="00C81887"/>
    <w:rsid w:val="00C8257C"/>
    <w:rsid w:val="00C828B2"/>
    <w:rsid w:val="00C829A5"/>
    <w:rsid w:val="00C82BD4"/>
    <w:rsid w:val="00C82DC9"/>
    <w:rsid w:val="00C82F5E"/>
    <w:rsid w:val="00C83003"/>
    <w:rsid w:val="00C8389E"/>
    <w:rsid w:val="00C846A3"/>
    <w:rsid w:val="00C84B05"/>
    <w:rsid w:val="00C84D7A"/>
    <w:rsid w:val="00C85152"/>
    <w:rsid w:val="00C85212"/>
    <w:rsid w:val="00C855F9"/>
    <w:rsid w:val="00C86A97"/>
    <w:rsid w:val="00C8779A"/>
    <w:rsid w:val="00C87B79"/>
    <w:rsid w:val="00C911A1"/>
    <w:rsid w:val="00C91482"/>
    <w:rsid w:val="00C915BC"/>
    <w:rsid w:val="00C9172B"/>
    <w:rsid w:val="00C91843"/>
    <w:rsid w:val="00C91AC3"/>
    <w:rsid w:val="00C91E36"/>
    <w:rsid w:val="00C91FA0"/>
    <w:rsid w:val="00C927C1"/>
    <w:rsid w:val="00C92D35"/>
    <w:rsid w:val="00C92E33"/>
    <w:rsid w:val="00C93766"/>
    <w:rsid w:val="00C93B74"/>
    <w:rsid w:val="00C93D1C"/>
    <w:rsid w:val="00C95265"/>
    <w:rsid w:val="00C9569F"/>
    <w:rsid w:val="00C95A6D"/>
    <w:rsid w:val="00C95C97"/>
    <w:rsid w:val="00C96314"/>
    <w:rsid w:val="00C96447"/>
    <w:rsid w:val="00C9669E"/>
    <w:rsid w:val="00C96EF2"/>
    <w:rsid w:val="00C9708B"/>
    <w:rsid w:val="00C971FE"/>
    <w:rsid w:val="00C97739"/>
    <w:rsid w:val="00CA017B"/>
    <w:rsid w:val="00CA066F"/>
    <w:rsid w:val="00CA0B12"/>
    <w:rsid w:val="00CA1DEC"/>
    <w:rsid w:val="00CA20EB"/>
    <w:rsid w:val="00CA31C4"/>
    <w:rsid w:val="00CA34FD"/>
    <w:rsid w:val="00CA354C"/>
    <w:rsid w:val="00CA35D9"/>
    <w:rsid w:val="00CA36F9"/>
    <w:rsid w:val="00CA3907"/>
    <w:rsid w:val="00CA40B3"/>
    <w:rsid w:val="00CA410B"/>
    <w:rsid w:val="00CA4358"/>
    <w:rsid w:val="00CA45B0"/>
    <w:rsid w:val="00CA479F"/>
    <w:rsid w:val="00CA5761"/>
    <w:rsid w:val="00CA5CF3"/>
    <w:rsid w:val="00CA6359"/>
    <w:rsid w:val="00CA6361"/>
    <w:rsid w:val="00CA6692"/>
    <w:rsid w:val="00CA68E5"/>
    <w:rsid w:val="00CA6912"/>
    <w:rsid w:val="00CA6AB6"/>
    <w:rsid w:val="00CA6CCB"/>
    <w:rsid w:val="00CA6EC2"/>
    <w:rsid w:val="00CA6F38"/>
    <w:rsid w:val="00CA7253"/>
    <w:rsid w:val="00CA7C55"/>
    <w:rsid w:val="00CA7D90"/>
    <w:rsid w:val="00CA7E1D"/>
    <w:rsid w:val="00CB04C8"/>
    <w:rsid w:val="00CB05FF"/>
    <w:rsid w:val="00CB0758"/>
    <w:rsid w:val="00CB0AC6"/>
    <w:rsid w:val="00CB0BC2"/>
    <w:rsid w:val="00CB0DD3"/>
    <w:rsid w:val="00CB21A5"/>
    <w:rsid w:val="00CB2452"/>
    <w:rsid w:val="00CB2894"/>
    <w:rsid w:val="00CB3004"/>
    <w:rsid w:val="00CB32B7"/>
    <w:rsid w:val="00CB3738"/>
    <w:rsid w:val="00CB37C6"/>
    <w:rsid w:val="00CB38B3"/>
    <w:rsid w:val="00CB3C3E"/>
    <w:rsid w:val="00CB3ED6"/>
    <w:rsid w:val="00CB4763"/>
    <w:rsid w:val="00CB49B6"/>
    <w:rsid w:val="00CB5298"/>
    <w:rsid w:val="00CB53A9"/>
    <w:rsid w:val="00CB5B49"/>
    <w:rsid w:val="00CB62CD"/>
    <w:rsid w:val="00CB64CC"/>
    <w:rsid w:val="00CB66A8"/>
    <w:rsid w:val="00CB67F0"/>
    <w:rsid w:val="00CB6A84"/>
    <w:rsid w:val="00CB6F3E"/>
    <w:rsid w:val="00CB781D"/>
    <w:rsid w:val="00CB7875"/>
    <w:rsid w:val="00CC05B2"/>
    <w:rsid w:val="00CC0834"/>
    <w:rsid w:val="00CC0A0E"/>
    <w:rsid w:val="00CC1980"/>
    <w:rsid w:val="00CC1C5D"/>
    <w:rsid w:val="00CC221B"/>
    <w:rsid w:val="00CC2268"/>
    <w:rsid w:val="00CC28E9"/>
    <w:rsid w:val="00CC295F"/>
    <w:rsid w:val="00CC32AB"/>
    <w:rsid w:val="00CC335B"/>
    <w:rsid w:val="00CC3537"/>
    <w:rsid w:val="00CC3658"/>
    <w:rsid w:val="00CC37B1"/>
    <w:rsid w:val="00CC39AA"/>
    <w:rsid w:val="00CC3C4D"/>
    <w:rsid w:val="00CC3CF3"/>
    <w:rsid w:val="00CC4988"/>
    <w:rsid w:val="00CC50BF"/>
    <w:rsid w:val="00CC5218"/>
    <w:rsid w:val="00CC537A"/>
    <w:rsid w:val="00CC59A1"/>
    <w:rsid w:val="00CC60C8"/>
    <w:rsid w:val="00CC62B3"/>
    <w:rsid w:val="00CC6AC3"/>
    <w:rsid w:val="00CC6F4B"/>
    <w:rsid w:val="00CC7976"/>
    <w:rsid w:val="00CC7F71"/>
    <w:rsid w:val="00CD0921"/>
    <w:rsid w:val="00CD0C3D"/>
    <w:rsid w:val="00CD122F"/>
    <w:rsid w:val="00CD15A1"/>
    <w:rsid w:val="00CD1874"/>
    <w:rsid w:val="00CD1B58"/>
    <w:rsid w:val="00CD1BB9"/>
    <w:rsid w:val="00CD204F"/>
    <w:rsid w:val="00CD22CF"/>
    <w:rsid w:val="00CD23AE"/>
    <w:rsid w:val="00CD23D1"/>
    <w:rsid w:val="00CD2647"/>
    <w:rsid w:val="00CD2795"/>
    <w:rsid w:val="00CD3D91"/>
    <w:rsid w:val="00CD40E6"/>
    <w:rsid w:val="00CD443A"/>
    <w:rsid w:val="00CD45CD"/>
    <w:rsid w:val="00CD4DBD"/>
    <w:rsid w:val="00CD4EE0"/>
    <w:rsid w:val="00CD50DE"/>
    <w:rsid w:val="00CD57E6"/>
    <w:rsid w:val="00CD5C98"/>
    <w:rsid w:val="00CD5EDD"/>
    <w:rsid w:val="00CD5F6C"/>
    <w:rsid w:val="00CD60F2"/>
    <w:rsid w:val="00CD686B"/>
    <w:rsid w:val="00CD6956"/>
    <w:rsid w:val="00CD6E42"/>
    <w:rsid w:val="00CD70CD"/>
    <w:rsid w:val="00CD7735"/>
    <w:rsid w:val="00CD78CE"/>
    <w:rsid w:val="00CD796A"/>
    <w:rsid w:val="00CE0C11"/>
    <w:rsid w:val="00CE1251"/>
    <w:rsid w:val="00CE1256"/>
    <w:rsid w:val="00CE125A"/>
    <w:rsid w:val="00CE1C47"/>
    <w:rsid w:val="00CE1DB8"/>
    <w:rsid w:val="00CE204C"/>
    <w:rsid w:val="00CE27DF"/>
    <w:rsid w:val="00CE2AD4"/>
    <w:rsid w:val="00CE2B35"/>
    <w:rsid w:val="00CE3088"/>
    <w:rsid w:val="00CE3A04"/>
    <w:rsid w:val="00CE45E0"/>
    <w:rsid w:val="00CE4ADA"/>
    <w:rsid w:val="00CE5777"/>
    <w:rsid w:val="00CE58C7"/>
    <w:rsid w:val="00CE59FC"/>
    <w:rsid w:val="00CE5CB0"/>
    <w:rsid w:val="00CE737E"/>
    <w:rsid w:val="00CE7A2B"/>
    <w:rsid w:val="00CE7D98"/>
    <w:rsid w:val="00CE7DE7"/>
    <w:rsid w:val="00CF0579"/>
    <w:rsid w:val="00CF057C"/>
    <w:rsid w:val="00CF0E78"/>
    <w:rsid w:val="00CF15C6"/>
    <w:rsid w:val="00CF1BCF"/>
    <w:rsid w:val="00CF1C88"/>
    <w:rsid w:val="00CF24BA"/>
    <w:rsid w:val="00CF280C"/>
    <w:rsid w:val="00CF282E"/>
    <w:rsid w:val="00CF37C9"/>
    <w:rsid w:val="00CF39B1"/>
    <w:rsid w:val="00CF439E"/>
    <w:rsid w:val="00CF48C4"/>
    <w:rsid w:val="00CF5017"/>
    <w:rsid w:val="00CF503A"/>
    <w:rsid w:val="00CF52CC"/>
    <w:rsid w:val="00CF5310"/>
    <w:rsid w:val="00CF551B"/>
    <w:rsid w:val="00CF5A76"/>
    <w:rsid w:val="00CF68C4"/>
    <w:rsid w:val="00CF6B84"/>
    <w:rsid w:val="00CF70E0"/>
    <w:rsid w:val="00CF7144"/>
    <w:rsid w:val="00CF7311"/>
    <w:rsid w:val="00CF7CDC"/>
    <w:rsid w:val="00CF7E75"/>
    <w:rsid w:val="00D00335"/>
    <w:rsid w:val="00D0064E"/>
    <w:rsid w:val="00D00748"/>
    <w:rsid w:val="00D00C43"/>
    <w:rsid w:val="00D0190E"/>
    <w:rsid w:val="00D02396"/>
    <w:rsid w:val="00D026E8"/>
    <w:rsid w:val="00D02D36"/>
    <w:rsid w:val="00D02F4E"/>
    <w:rsid w:val="00D031D2"/>
    <w:rsid w:val="00D03D3A"/>
    <w:rsid w:val="00D03FBB"/>
    <w:rsid w:val="00D04591"/>
    <w:rsid w:val="00D0460B"/>
    <w:rsid w:val="00D04617"/>
    <w:rsid w:val="00D047BC"/>
    <w:rsid w:val="00D04B28"/>
    <w:rsid w:val="00D05269"/>
    <w:rsid w:val="00D05477"/>
    <w:rsid w:val="00D05A1E"/>
    <w:rsid w:val="00D05CB4"/>
    <w:rsid w:val="00D05CE9"/>
    <w:rsid w:val="00D0613E"/>
    <w:rsid w:val="00D0690F"/>
    <w:rsid w:val="00D0734B"/>
    <w:rsid w:val="00D07538"/>
    <w:rsid w:val="00D07B8F"/>
    <w:rsid w:val="00D07BC0"/>
    <w:rsid w:val="00D07BC7"/>
    <w:rsid w:val="00D10038"/>
    <w:rsid w:val="00D100B9"/>
    <w:rsid w:val="00D105DB"/>
    <w:rsid w:val="00D110AA"/>
    <w:rsid w:val="00D11232"/>
    <w:rsid w:val="00D11319"/>
    <w:rsid w:val="00D11347"/>
    <w:rsid w:val="00D1145F"/>
    <w:rsid w:val="00D11ED0"/>
    <w:rsid w:val="00D12006"/>
    <w:rsid w:val="00D12034"/>
    <w:rsid w:val="00D122F8"/>
    <w:rsid w:val="00D133C8"/>
    <w:rsid w:val="00D13536"/>
    <w:rsid w:val="00D13741"/>
    <w:rsid w:val="00D13814"/>
    <w:rsid w:val="00D13BC6"/>
    <w:rsid w:val="00D14119"/>
    <w:rsid w:val="00D14316"/>
    <w:rsid w:val="00D1438C"/>
    <w:rsid w:val="00D14660"/>
    <w:rsid w:val="00D14898"/>
    <w:rsid w:val="00D14B6F"/>
    <w:rsid w:val="00D14C0B"/>
    <w:rsid w:val="00D152E5"/>
    <w:rsid w:val="00D15598"/>
    <w:rsid w:val="00D15967"/>
    <w:rsid w:val="00D16A97"/>
    <w:rsid w:val="00D16F83"/>
    <w:rsid w:val="00D17E93"/>
    <w:rsid w:val="00D20C4D"/>
    <w:rsid w:val="00D20DC5"/>
    <w:rsid w:val="00D20F42"/>
    <w:rsid w:val="00D218A1"/>
    <w:rsid w:val="00D21A3E"/>
    <w:rsid w:val="00D220E9"/>
    <w:rsid w:val="00D22AC4"/>
    <w:rsid w:val="00D22D39"/>
    <w:rsid w:val="00D23022"/>
    <w:rsid w:val="00D231D7"/>
    <w:rsid w:val="00D23512"/>
    <w:rsid w:val="00D2354E"/>
    <w:rsid w:val="00D23C1C"/>
    <w:rsid w:val="00D24BC3"/>
    <w:rsid w:val="00D24D14"/>
    <w:rsid w:val="00D250A6"/>
    <w:rsid w:val="00D252D1"/>
    <w:rsid w:val="00D255F9"/>
    <w:rsid w:val="00D25933"/>
    <w:rsid w:val="00D25B64"/>
    <w:rsid w:val="00D266CB"/>
    <w:rsid w:val="00D267FF"/>
    <w:rsid w:val="00D269F3"/>
    <w:rsid w:val="00D26AF6"/>
    <w:rsid w:val="00D27238"/>
    <w:rsid w:val="00D275D1"/>
    <w:rsid w:val="00D27B6A"/>
    <w:rsid w:val="00D27E35"/>
    <w:rsid w:val="00D27F6F"/>
    <w:rsid w:val="00D30756"/>
    <w:rsid w:val="00D326E9"/>
    <w:rsid w:val="00D32824"/>
    <w:rsid w:val="00D32D85"/>
    <w:rsid w:val="00D33CE9"/>
    <w:rsid w:val="00D3486C"/>
    <w:rsid w:val="00D3497D"/>
    <w:rsid w:val="00D35331"/>
    <w:rsid w:val="00D35791"/>
    <w:rsid w:val="00D36365"/>
    <w:rsid w:val="00D36620"/>
    <w:rsid w:val="00D3680E"/>
    <w:rsid w:val="00D36822"/>
    <w:rsid w:val="00D36890"/>
    <w:rsid w:val="00D36B2C"/>
    <w:rsid w:val="00D36DE0"/>
    <w:rsid w:val="00D36ED9"/>
    <w:rsid w:val="00D3724A"/>
    <w:rsid w:val="00D3735D"/>
    <w:rsid w:val="00D3740A"/>
    <w:rsid w:val="00D374B2"/>
    <w:rsid w:val="00D3774E"/>
    <w:rsid w:val="00D40340"/>
    <w:rsid w:val="00D4064B"/>
    <w:rsid w:val="00D425F4"/>
    <w:rsid w:val="00D42680"/>
    <w:rsid w:val="00D4294E"/>
    <w:rsid w:val="00D4355C"/>
    <w:rsid w:val="00D43811"/>
    <w:rsid w:val="00D44045"/>
    <w:rsid w:val="00D4407F"/>
    <w:rsid w:val="00D44344"/>
    <w:rsid w:val="00D44542"/>
    <w:rsid w:val="00D44D1B"/>
    <w:rsid w:val="00D45241"/>
    <w:rsid w:val="00D453A8"/>
    <w:rsid w:val="00D45787"/>
    <w:rsid w:val="00D45D54"/>
    <w:rsid w:val="00D45F99"/>
    <w:rsid w:val="00D4753E"/>
    <w:rsid w:val="00D47565"/>
    <w:rsid w:val="00D478E4"/>
    <w:rsid w:val="00D47C16"/>
    <w:rsid w:val="00D47E98"/>
    <w:rsid w:val="00D47FF9"/>
    <w:rsid w:val="00D503AD"/>
    <w:rsid w:val="00D503F2"/>
    <w:rsid w:val="00D506E5"/>
    <w:rsid w:val="00D50C10"/>
    <w:rsid w:val="00D50ED4"/>
    <w:rsid w:val="00D5104E"/>
    <w:rsid w:val="00D51162"/>
    <w:rsid w:val="00D515D1"/>
    <w:rsid w:val="00D51914"/>
    <w:rsid w:val="00D51F06"/>
    <w:rsid w:val="00D5245E"/>
    <w:rsid w:val="00D52771"/>
    <w:rsid w:val="00D52EC9"/>
    <w:rsid w:val="00D53282"/>
    <w:rsid w:val="00D53907"/>
    <w:rsid w:val="00D53E65"/>
    <w:rsid w:val="00D54025"/>
    <w:rsid w:val="00D54365"/>
    <w:rsid w:val="00D5471A"/>
    <w:rsid w:val="00D54E82"/>
    <w:rsid w:val="00D55052"/>
    <w:rsid w:val="00D5527B"/>
    <w:rsid w:val="00D5527F"/>
    <w:rsid w:val="00D552BD"/>
    <w:rsid w:val="00D55783"/>
    <w:rsid w:val="00D55E9F"/>
    <w:rsid w:val="00D55FD9"/>
    <w:rsid w:val="00D563CD"/>
    <w:rsid w:val="00D5672A"/>
    <w:rsid w:val="00D56AD5"/>
    <w:rsid w:val="00D56D1E"/>
    <w:rsid w:val="00D56D59"/>
    <w:rsid w:val="00D571C5"/>
    <w:rsid w:val="00D572D9"/>
    <w:rsid w:val="00D57552"/>
    <w:rsid w:val="00D575A3"/>
    <w:rsid w:val="00D576EB"/>
    <w:rsid w:val="00D57A81"/>
    <w:rsid w:val="00D607E8"/>
    <w:rsid w:val="00D60835"/>
    <w:rsid w:val="00D60926"/>
    <w:rsid w:val="00D60E28"/>
    <w:rsid w:val="00D614F9"/>
    <w:rsid w:val="00D61B68"/>
    <w:rsid w:val="00D61E27"/>
    <w:rsid w:val="00D61FEB"/>
    <w:rsid w:val="00D622D3"/>
    <w:rsid w:val="00D62624"/>
    <w:rsid w:val="00D62767"/>
    <w:rsid w:val="00D62838"/>
    <w:rsid w:val="00D62964"/>
    <w:rsid w:val="00D62F1C"/>
    <w:rsid w:val="00D62F68"/>
    <w:rsid w:val="00D63298"/>
    <w:rsid w:val="00D636DD"/>
    <w:rsid w:val="00D63C7E"/>
    <w:rsid w:val="00D63CFC"/>
    <w:rsid w:val="00D640A7"/>
    <w:rsid w:val="00D64204"/>
    <w:rsid w:val="00D64723"/>
    <w:rsid w:val="00D6499E"/>
    <w:rsid w:val="00D65694"/>
    <w:rsid w:val="00D657AC"/>
    <w:rsid w:val="00D65DC8"/>
    <w:rsid w:val="00D65E0F"/>
    <w:rsid w:val="00D661DC"/>
    <w:rsid w:val="00D66816"/>
    <w:rsid w:val="00D6693B"/>
    <w:rsid w:val="00D66BA6"/>
    <w:rsid w:val="00D66DF1"/>
    <w:rsid w:val="00D67216"/>
    <w:rsid w:val="00D67299"/>
    <w:rsid w:val="00D6795A"/>
    <w:rsid w:val="00D7013E"/>
    <w:rsid w:val="00D7017A"/>
    <w:rsid w:val="00D703FE"/>
    <w:rsid w:val="00D70D70"/>
    <w:rsid w:val="00D70D85"/>
    <w:rsid w:val="00D70F07"/>
    <w:rsid w:val="00D71341"/>
    <w:rsid w:val="00D71B21"/>
    <w:rsid w:val="00D71D89"/>
    <w:rsid w:val="00D72070"/>
    <w:rsid w:val="00D73020"/>
    <w:rsid w:val="00D74392"/>
    <w:rsid w:val="00D74C1F"/>
    <w:rsid w:val="00D74CFB"/>
    <w:rsid w:val="00D75741"/>
    <w:rsid w:val="00D7589A"/>
    <w:rsid w:val="00D75930"/>
    <w:rsid w:val="00D76730"/>
    <w:rsid w:val="00D76A34"/>
    <w:rsid w:val="00D76BD9"/>
    <w:rsid w:val="00D76EE8"/>
    <w:rsid w:val="00D771B1"/>
    <w:rsid w:val="00D7754F"/>
    <w:rsid w:val="00D777F6"/>
    <w:rsid w:val="00D80AD3"/>
    <w:rsid w:val="00D80AE1"/>
    <w:rsid w:val="00D80B8A"/>
    <w:rsid w:val="00D80BB5"/>
    <w:rsid w:val="00D80D90"/>
    <w:rsid w:val="00D80FEA"/>
    <w:rsid w:val="00D8125C"/>
    <w:rsid w:val="00D8143A"/>
    <w:rsid w:val="00D8156C"/>
    <w:rsid w:val="00D815C2"/>
    <w:rsid w:val="00D817F9"/>
    <w:rsid w:val="00D81AE6"/>
    <w:rsid w:val="00D82422"/>
    <w:rsid w:val="00D82799"/>
    <w:rsid w:val="00D8282F"/>
    <w:rsid w:val="00D82B68"/>
    <w:rsid w:val="00D82F91"/>
    <w:rsid w:val="00D82F98"/>
    <w:rsid w:val="00D83861"/>
    <w:rsid w:val="00D8448C"/>
    <w:rsid w:val="00D844D1"/>
    <w:rsid w:val="00D84861"/>
    <w:rsid w:val="00D85676"/>
    <w:rsid w:val="00D85690"/>
    <w:rsid w:val="00D85A52"/>
    <w:rsid w:val="00D85A63"/>
    <w:rsid w:val="00D85AEC"/>
    <w:rsid w:val="00D85DD2"/>
    <w:rsid w:val="00D8619B"/>
    <w:rsid w:val="00D86563"/>
    <w:rsid w:val="00D866D8"/>
    <w:rsid w:val="00D867A0"/>
    <w:rsid w:val="00D8731F"/>
    <w:rsid w:val="00D8734B"/>
    <w:rsid w:val="00D87E49"/>
    <w:rsid w:val="00D87E74"/>
    <w:rsid w:val="00D905EC"/>
    <w:rsid w:val="00D90660"/>
    <w:rsid w:val="00D90A70"/>
    <w:rsid w:val="00D90C44"/>
    <w:rsid w:val="00D91889"/>
    <w:rsid w:val="00D92026"/>
    <w:rsid w:val="00D920A9"/>
    <w:rsid w:val="00D928B5"/>
    <w:rsid w:val="00D92F4A"/>
    <w:rsid w:val="00D93826"/>
    <w:rsid w:val="00D93850"/>
    <w:rsid w:val="00D93BCD"/>
    <w:rsid w:val="00D94003"/>
    <w:rsid w:val="00D944F2"/>
    <w:rsid w:val="00D945A1"/>
    <w:rsid w:val="00D94845"/>
    <w:rsid w:val="00D94E5B"/>
    <w:rsid w:val="00D94FA8"/>
    <w:rsid w:val="00D952C0"/>
    <w:rsid w:val="00D954CF"/>
    <w:rsid w:val="00D96FEC"/>
    <w:rsid w:val="00D97178"/>
    <w:rsid w:val="00D97710"/>
    <w:rsid w:val="00D97C50"/>
    <w:rsid w:val="00D97F53"/>
    <w:rsid w:val="00DA0144"/>
    <w:rsid w:val="00DA0145"/>
    <w:rsid w:val="00DA1605"/>
    <w:rsid w:val="00DA1902"/>
    <w:rsid w:val="00DA1D1A"/>
    <w:rsid w:val="00DA1DB6"/>
    <w:rsid w:val="00DA1E71"/>
    <w:rsid w:val="00DA2529"/>
    <w:rsid w:val="00DA2880"/>
    <w:rsid w:val="00DA2D4A"/>
    <w:rsid w:val="00DA3768"/>
    <w:rsid w:val="00DA39B5"/>
    <w:rsid w:val="00DA427D"/>
    <w:rsid w:val="00DA48CA"/>
    <w:rsid w:val="00DA4C2E"/>
    <w:rsid w:val="00DA4CE7"/>
    <w:rsid w:val="00DA4FBD"/>
    <w:rsid w:val="00DA5339"/>
    <w:rsid w:val="00DA5418"/>
    <w:rsid w:val="00DA5EDE"/>
    <w:rsid w:val="00DA63EB"/>
    <w:rsid w:val="00DA6968"/>
    <w:rsid w:val="00DA6EB4"/>
    <w:rsid w:val="00DA6F7A"/>
    <w:rsid w:val="00DB0276"/>
    <w:rsid w:val="00DB040E"/>
    <w:rsid w:val="00DB0520"/>
    <w:rsid w:val="00DB0757"/>
    <w:rsid w:val="00DB0ED0"/>
    <w:rsid w:val="00DB1171"/>
    <w:rsid w:val="00DB188E"/>
    <w:rsid w:val="00DB20E7"/>
    <w:rsid w:val="00DB3211"/>
    <w:rsid w:val="00DB3CBF"/>
    <w:rsid w:val="00DB3CE9"/>
    <w:rsid w:val="00DB440C"/>
    <w:rsid w:val="00DB467A"/>
    <w:rsid w:val="00DB47AE"/>
    <w:rsid w:val="00DB5EC4"/>
    <w:rsid w:val="00DB6165"/>
    <w:rsid w:val="00DB629D"/>
    <w:rsid w:val="00DB64F3"/>
    <w:rsid w:val="00DB67B0"/>
    <w:rsid w:val="00DB6911"/>
    <w:rsid w:val="00DB6BE1"/>
    <w:rsid w:val="00DB7395"/>
    <w:rsid w:val="00DB73A9"/>
    <w:rsid w:val="00DB7D12"/>
    <w:rsid w:val="00DB7DCC"/>
    <w:rsid w:val="00DC000F"/>
    <w:rsid w:val="00DC0292"/>
    <w:rsid w:val="00DC1322"/>
    <w:rsid w:val="00DC14B7"/>
    <w:rsid w:val="00DC15E4"/>
    <w:rsid w:val="00DC1A81"/>
    <w:rsid w:val="00DC1D8C"/>
    <w:rsid w:val="00DC1F0E"/>
    <w:rsid w:val="00DC2310"/>
    <w:rsid w:val="00DC25A6"/>
    <w:rsid w:val="00DC287A"/>
    <w:rsid w:val="00DC29B3"/>
    <w:rsid w:val="00DC2C93"/>
    <w:rsid w:val="00DC3332"/>
    <w:rsid w:val="00DC3B93"/>
    <w:rsid w:val="00DC3E70"/>
    <w:rsid w:val="00DC44D7"/>
    <w:rsid w:val="00DC4E95"/>
    <w:rsid w:val="00DC54CF"/>
    <w:rsid w:val="00DC5536"/>
    <w:rsid w:val="00DC5822"/>
    <w:rsid w:val="00DC5A33"/>
    <w:rsid w:val="00DC5B50"/>
    <w:rsid w:val="00DC5E68"/>
    <w:rsid w:val="00DC63D8"/>
    <w:rsid w:val="00DC6578"/>
    <w:rsid w:val="00DC65F2"/>
    <w:rsid w:val="00DC67DA"/>
    <w:rsid w:val="00DC6A09"/>
    <w:rsid w:val="00DC6C9C"/>
    <w:rsid w:val="00DC6EFB"/>
    <w:rsid w:val="00DC711B"/>
    <w:rsid w:val="00DC7441"/>
    <w:rsid w:val="00DC75E7"/>
    <w:rsid w:val="00DC7CB7"/>
    <w:rsid w:val="00DC7D0D"/>
    <w:rsid w:val="00DD0617"/>
    <w:rsid w:val="00DD0734"/>
    <w:rsid w:val="00DD0800"/>
    <w:rsid w:val="00DD1606"/>
    <w:rsid w:val="00DD1D0E"/>
    <w:rsid w:val="00DD2B63"/>
    <w:rsid w:val="00DD30C3"/>
    <w:rsid w:val="00DD3102"/>
    <w:rsid w:val="00DD37D5"/>
    <w:rsid w:val="00DD4F04"/>
    <w:rsid w:val="00DD529A"/>
    <w:rsid w:val="00DD5410"/>
    <w:rsid w:val="00DD5A58"/>
    <w:rsid w:val="00DD5A87"/>
    <w:rsid w:val="00DD72DC"/>
    <w:rsid w:val="00DD7807"/>
    <w:rsid w:val="00DD7920"/>
    <w:rsid w:val="00DE0270"/>
    <w:rsid w:val="00DE079F"/>
    <w:rsid w:val="00DE0884"/>
    <w:rsid w:val="00DE09F4"/>
    <w:rsid w:val="00DE1800"/>
    <w:rsid w:val="00DE1B8F"/>
    <w:rsid w:val="00DE1E86"/>
    <w:rsid w:val="00DE2319"/>
    <w:rsid w:val="00DE2403"/>
    <w:rsid w:val="00DE2E7E"/>
    <w:rsid w:val="00DE3368"/>
    <w:rsid w:val="00DE3CD3"/>
    <w:rsid w:val="00DE3DC3"/>
    <w:rsid w:val="00DE3F97"/>
    <w:rsid w:val="00DE435E"/>
    <w:rsid w:val="00DE4743"/>
    <w:rsid w:val="00DE47AC"/>
    <w:rsid w:val="00DE4DE2"/>
    <w:rsid w:val="00DE4E74"/>
    <w:rsid w:val="00DE4EA9"/>
    <w:rsid w:val="00DE563B"/>
    <w:rsid w:val="00DE5836"/>
    <w:rsid w:val="00DE5866"/>
    <w:rsid w:val="00DE5EC1"/>
    <w:rsid w:val="00DE62B1"/>
    <w:rsid w:val="00DE688A"/>
    <w:rsid w:val="00DE6B74"/>
    <w:rsid w:val="00DE6BC7"/>
    <w:rsid w:val="00DE6C6F"/>
    <w:rsid w:val="00DE6DE6"/>
    <w:rsid w:val="00DE6FDF"/>
    <w:rsid w:val="00DE764F"/>
    <w:rsid w:val="00DE7AF4"/>
    <w:rsid w:val="00DE7EB5"/>
    <w:rsid w:val="00DF0708"/>
    <w:rsid w:val="00DF08BB"/>
    <w:rsid w:val="00DF0D6E"/>
    <w:rsid w:val="00DF15B5"/>
    <w:rsid w:val="00DF191E"/>
    <w:rsid w:val="00DF199B"/>
    <w:rsid w:val="00DF2A21"/>
    <w:rsid w:val="00DF39FF"/>
    <w:rsid w:val="00DF3C96"/>
    <w:rsid w:val="00DF4232"/>
    <w:rsid w:val="00DF4348"/>
    <w:rsid w:val="00DF4E62"/>
    <w:rsid w:val="00DF5600"/>
    <w:rsid w:val="00DF5708"/>
    <w:rsid w:val="00DF593B"/>
    <w:rsid w:val="00DF6412"/>
    <w:rsid w:val="00DF6B7B"/>
    <w:rsid w:val="00DF7509"/>
    <w:rsid w:val="00DF75AF"/>
    <w:rsid w:val="00DF7610"/>
    <w:rsid w:val="00DF7AD0"/>
    <w:rsid w:val="00E006C0"/>
    <w:rsid w:val="00E00851"/>
    <w:rsid w:val="00E0123F"/>
    <w:rsid w:val="00E0213E"/>
    <w:rsid w:val="00E02685"/>
    <w:rsid w:val="00E02917"/>
    <w:rsid w:val="00E02A95"/>
    <w:rsid w:val="00E02DCB"/>
    <w:rsid w:val="00E03158"/>
    <w:rsid w:val="00E033C9"/>
    <w:rsid w:val="00E0394E"/>
    <w:rsid w:val="00E04015"/>
    <w:rsid w:val="00E04DCE"/>
    <w:rsid w:val="00E04FA1"/>
    <w:rsid w:val="00E04FEF"/>
    <w:rsid w:val="00E05039"/>
    <w:rsid w:val="00E05DE4"/>
    <w:rsid w:val="00E0627E"/>
    <w:rsid w:val="00E06631"/>
    <w:rsid w:val="00E06D59"/>
    <w:rsid w:val="00E073B3"/>
    <w:rsid w:val="00E07E4A"/>
    <w:rsid w:val="00E07F97"/>
    <w:rsid w:val="00E1021A"/>
    <w:rsid w:val="00E11BD5"/>
    <w:rsid w:val="00E11DC3"/>
    <w:rsid w:val="00E122E5"/>
    <w:rsid w:val="00E12361"/>
    <w:rsid w:val="00E12C85"/>
    <w:rsid w:val="00E12F7B"/>
    <w:rsid w:val="00E13218"/>
    <w:rsid w:val="00E13766"/>
    <w:rsid w:val="00E13E6B"/>
    <w:rsid w:val="00E14418"/>
    <w:rsid w:val="00E14794"/>
    <w:rsid w:val="00E14961"/>
    <w:rsid w:val="00E15014"/>
    <w:rsid w:val="00E15338"/>
    <w:rsid w:val="00E15383"/>
    <w:rsid w:val="00E161CD"/>
    <w:rsid w:val="00E161D5"/>
    <w:rsid w:val="00E163FC"/>
    <w:rsid w:val="00E16791"/>
    <w:rsid w:val="00E167BE"/>
    <w:rsid w:val="00E16DFE"/>
    <w:rsid w:val="00E16EFA"/>
    <w:rsid w:val="00E175A5"/>
    <w:rsid w:val="00E17640"/>
    <w:rsid w:val="00E20F9A"/>
    <w:rsid w:val="00E212A0"/>
    <w:rsid w:val="00E213DF"/>
    <w:rsid w:val="00E216FB"/>
    <w:rsid w:val="00E21C58"/>
    <w:rsid w:val="00E21D45"/>
    <w:rsid w:val="00E221D9"/>
    <w:rsid w:val="00E236D3"/>
    <w:rsid w:val="00E23F64"/>
    <w:rsid w:val="00E242B9"/>
    <w:rsid w:val="00E24819"/>
    <w:rsid w:val="00E24971"/>
    <w:rsid w:val="00E24E58"/>
    <w:rsid w:val="00E24E7F"/>
    <w:rsid w:val="00E250A2"/>
    <w:rsid w:val="00E257A2"/>
    <w:rsid w:val="00E257B1"/>
    <w:rsid w:val="00E25844"/>
    <w:rsid w:val="00E25B5C"/>
    <w:rsid w:val="00E26313"/>
    <w:rsid w:val="00E2637F"/>
    <w:rsid w:val="00E26831"/>
    <w:rsid w:val="00E2687F"/>
    <w:rsid w:val="00E278BE"/>
    <w:rsid w:val="00E302DC"/>
    <w:rsid w:val="00E303DC"/>
    <w:rsid w:val="00E30855"/>
    <w:rsid w:val="00E30A18"/>
    <w:rsid w:val="00E30AA1"/>
    <w:rsid w:val="00E30C03"/>
    <w:rsid w:val="00E31CCC"/>
    <w:rsid w:val="00E31CFB"/>
    <w:rsid w:val="00E32317"/>
    <w:rsid w:val="00E32924"/>
    <w:rsid w:val="00E32A52"/>
    <w:rsid w:val="00E32B5B"/>
    <w:rsid w:val="00E32B70"/>
    <w:rsid w:val="00E32DA0"/>
    <w:rsid w:val="00E33946"/>
    <w:rsid w:val="00E33ECF"/>
    <w:rsid w:val="00E347C8"/>
    <w:rsid w:val="00E34884"/>
    <w:rsid w:val="00E34CEB"/>
    <w:rsid w:val="00E353C6"/>
    <w:rsid w:val="00E354F9"/>
    <w:rsid w:val="00E3624D"/>
    <w:rsid w:val="00E368EE"/>
    <w:rsid w:val="00E3716A"/>
    <w:rsid w:val="00E37437"/>
    <w:rsid w:val="00E375C5"/>
    <w:rsid w:val="00E37A5B"/>
    <w:rsid w:val="00E37CF4"/>
    <w:rsid w:val="00E37D78"/>
    <w:rsid w:val="00E37D84"/>
    <w:rsid w:val="00E40412"/>
    <w:rsid w:val="00E4046C"/>
    <w:rsid w:val="00E409D6"/>
    <w:rsid w:val="00E40A0C"/>
    <w:rsid w:val="00E4127D"/>
    <w:rsid w:val="00E414E8"/>
    <w:rsid w:val="00E42221"/>
    <w:rsid w:val="00E43277"/>
    <w:rsid w:val="00E43293"/>
    <w:rsid w:val="00E43413"/>
    <w:rsid w:val="00E438A9"/>
    <w:rsid w:val="00E43F35"/>
    <w:rsid w:val="00E44252"/>
    <w:rsid w:val="00E44361"/>
    <w:rsid w:val="00E447B0"/>
    <w:rsid w:val="00E448A7"/>
    <w:rsid w:val="00E449E0"/>
    <w:rsid w:val="00E44DE8"/>
    <w:rsid w:val="00E44EDE"/>
    <w:rsid w:val="00E456C5"/>
    <w:rsid w:val="00E45C41"/>
    <w:rsid w:val="00E462EA"/>
    <w:rsid w:val="00E463E1"/>
    <w:rsid w:val="00E465AF"/>
    <w:rsid w:val="00E4674F"/>
    <w:rsid w:val="00E47929"/>
    <w:rsid w:val="00E47ADD"/>
    <w:rsid w:val="00E500F7"/>
    <w:rsid w:val="00E504D4"/>
    <w:rsid w:val="00E51493"/>
    <w:rsid w:val="00E516BA"/>
    <w:rsid w:val="00E51A01"/>
    <w:rsid w:val="00E51A67"/>
    <w:rsid w:val="00E51D4E"/>
    <w:rsid w:val="00E521E6"/>
    <w:rsid w:val="00E527AA"/>
    <w:rsid w:val="00E527CD"/>
    <w:rsid w:val="00E53004"/>
    <w:rsid w:val="00E530D9"/>
    <w:rsid w:val="00E535F7"/>
    <w:rsid w:val="00E5398E"/>
    <w:rsid w:val="00E53D9E"/>
    <w:rsid w:val="00E53E54"/>
    <w:rsid w:val="00E540E1"/>
    <w:rsid w:val="00E54891"/>
    <w:rsid w:val="00E54893"/>
    <w:rsid w:val="00E548C1"/>
    <w:rsid w:val="00E550BA"/>
    <w:rsid w:val="00E551E6"/>
    <w:rsid w:val="00E557A2"/>
    <w:rsid w:val="00E55C70"/>
    <w:rsid w:val="00E55E69"/>
    <w:rsid w:val="00E562B2"/>
    <w:rsid w:val="00E564CC"/>
    <w:rsid w:val="00E57147"/>
    <w:rsid w:val="00E6006C"/>
    <w:rsid w:val="00E601A5"/>
    <w:rsid w:val="00E60222"/>
    <w:rsid w:val="00E60B58"/>
    <w:rsid w:val="00E60C3E"/>
    <w:rsid w:val="00E6136B"/>
    <w:rsid w:val="00E617CB"/>
    <w:rsid w:val="00E61CBC"/>
    <w:rsid w:val="00E6257D"/>
    <w:rsid w:val="00E628E3"/>
    <w:rsid w:val="00E62A47"/>
    <w:rsid w:val="00E62B4C"/>
    <w:rsid w:val="00E62F5B"/>
    <w:rsid w:val="00E635C6"/>
    <w:rsid w:val="00E638E2"/>
    <w:rsid w:val="00E63B7D"/>
    <w:rsid w:val="00E63BE3"/>
    <w:rsid w:val="00E63E59"/>
    <w:rsid w:val="00E6420C"/>
    <w:rsid w:val="00E64588"/>
    <w:rsid w:val="00E6472B"/>
    <w:rsid w:val="00E65B98"/>
    <w:rsid w:val="00E65F5F"/>
    <w:rsid w:val="00E66254"/>
    <w:rsid w:val="00E666F5"/>
    <w:rsid w:val="00E66D89"/>
    <w:rsid w:val="00E67258"/>
    <w:rsid w:val="00E67A54"/>
    <w:rsid w:val="00E67C43"/>
    <w:rsid w:val="00E67C77"/>
    <w:rsid w:val="00E70188"/>
    <w:rsid w:val="00E70280"/>
    <w:rsid w:val="00E7098E"/>
    <w:rsid w:val="00E70B73"/>
    <w:rsid w:val="00E70DA6"/>
    <w:rsid w:val="00E7241E"/>
    <w:rsid w:val="00E7251E"/>
    <w:rsid w:val="00E7261E"/>
    <w:rsid w:val="00E72CA3"/>
    <w:rsid w:val="00E72E33"/>
    <w:rsid w:val="00E73B16"/>
    <w:rsid w:val="00E73C12"/>
    <w:rsid w:val="00E73CD6"/>
    <w:rsid w:val="00E743F6"/>
    <w:rsid w:val="00E74999"/>
    <w:rsid w:val="00E749AE"/>
    <w:rsid w:val="00E74FE2"/>
    <w:rsid w:val="00E75743"/>
    <w:rsid w:val="00E7593B"/>
    <w:rsid w:val="00E7593D"/>
    <w:rsid w:val="00E75DA0"/>
    <w:rsid w:val="00E75E6B"/>
    <w:rsid w:val="00E77803"/>
    <w:rsid w:val="00E77996"/>
    <w:rsid w:val="00E77C8F"/>
    <w:rsid w:val="00E77D9E"/>
    <w:rsid w:val="00E805B2"/>
    <w:rsid w:val="00E805CB"/>
    <w:rsid w:val="00E80A00"/>
    <w:rsid w:val="00E80C3A"/>
    <w:rsid w:val="00E80CE8"/>
    <w:rsid w:val="00E81541"/>
    <w:rsid w:val="00E817E5"/>
    <w:rsid w:val="00E81941"/>
    <w:rsid w:val="00E81B46"/>
    <w:rsid w:val="00E8201C"/>
    <w:rsid w:val="00E82146"/>
    <w:rsid w:val="00E8217A"/>
    <w:rsid w:val="00E8224D"/>
    <w:rsid w:val="00E82569"/>
    <w:rsid w:val="00E828AF"/>
    <w:rsid w:val="00E82C0C"/>
    <w:rsid w:val="00E834C1"/>
    <w:rsid w:val="00E84479"/>
    <w:rsid w:val="00E84D51"/>
    <w:rsid w:val="00E84DE2"/>
    <w:rsid w:val="00E84F92"/>
    <w:rsid w:val="00E853C0"/>
    <w:rsid w:val="00E868FA"/>
    <w:rsid w:val="00E86996"/>
    <w:rsid w:val="00E86B5B"/>
    <w:rsid w:val="00E87586"/>
    <w:rsid w:val="00E902FB"/>
    <w:rsid w:val="00E922E7"/>
    <w:rsid w:val="00E93AF6"/>
    <w:rsid w:val="00E945FC"/>
    <w:rsid w:val="00E947D2"/>
    <w:rsid w:val="00E94EFD"/>
    <w:rsid w:val="00E95CE1"/>
    <w:rsid w:val="00E9607C"/>
    <w:rsid w:val="00E9670A"/>
    <w:rsid w:val="00E971A8"/>
    <w:rsid w:val="00E97271"/>
    <w:rsid w:val="00E97AB8"/>
    <w:rsid w:val="00EA0309"/>
    <w:rsid w:val="00EA0424"/>
    <w:rsid w:val="00EA070A"/>
    <w:rsid w:val="00EA072B"/>
    <w:rsid w:val="00EA101F"/>
    <w:rsid w:val="00EA114A"/>
    <w:rsid w:val="00EA14B2"/>
    <w:rsid w:val="00EA1C1B"/>
    <w:rsid w:val="00EA1DCE"/>
    <w:rsid w:val="00EA28CC"/>
    <w:rsid w:val="00EA2CA9"/>
    <w:rsid w:val="00EA2E37"/>
    <w:rsid w:val="00EA2ED1"/>
    <w:rsid w:val="00EA32D9"/>
    <w:rsid w:val="00EA3A01"/>
    <w:rsid w:val="00EA3BB9"/>
    <w:rsid w:val="00EA3F1E"/>
    <w:rsid w:val="00EA4377"/>
    <w:rsid w:val="00EA4752"/>
    <w:rsid w:val="00EA496F"/>
    <w:rsid w:val="00EA4F4C"/>
    <w:rsid w:val="00EA57BB"/>
    <w:rsid w:val="00EA6A5C"/>
    <w:rsid w:val="00EA6BEB"/>
    <w:rsid w:val="00EA6E02"/>
    <w:rsid w:val="00EA78BF"/>
    <w:rsid w:val="00EA7C22"/>
    <w:rsid w:val="00EB0769"/>
    <w:rsid w:val="00EB0E1A"/>
    <w:rsid w:val="00EB2017"/>
    <w:rsid w:val="00EB20B6"/>
    <w:rsid w:val="00EB2142"/>
    <w:rsid w:val="00EB2160"/>
    <w:rsid w:val="00EB2342"/>
    <w:rsid w:val="00EB238E"/>
    <w:rsid w:val="00EB23AA"/>
    <w:rsid w:val="00EB2F8C"/>
    <w:rsid w:val="00EB303B"/>
    <w:rsid w:val="00EB3221"/>
    <w:rsid w:val="00EB3679"/>
    <w:rsid w:val="00EB382F"/>
    <w:rsid w:val="00EB39A0"/>
    <w:rsid w:val="00EB39ED"/>
    <w:rsid w:val="00EB3B22"/>
    <w:rsid w:val="00EB3D06"/>
    <w:rsid w:val="00EB4EE3"/>
    <w:rsid w:val="00EB55BE"/>
    <w:rsid w:val="00EB58B4"/>
    <w:rsid w:val="00EB6725"/>
    <w:rsid w:val="00EB7569"/>
    <w:rsid w:val="00EB7619"/>
    <w:rsid w:val="00EB797A"/>
    <w:rsid w:val="00EB7B48"/>
    <w:rsid w:val="00EB7BBD"/>
    <w:rsid w:val="00EB7EE7"/>
    <w:rsid w:val="00EC07D4"/>
    <w:rsid w:val="00EC08E4"/>
    <w:rsid w:val="00EC0CAE"/>
    <w:rsid w:val="00EC25BE"/>
    <w:rsid w:val="00EC2789"/>
    <w:rsid w:val="00EC3940"/>
    <w:rsid w:val="00EC4027"/>
    <w:rsid w:val="00EC421D"/>
    <w:rsid w:val="00EC4DF4"/>
    <w:rsid w:val="00EC51E9"/>
    <w:rsid w:val="00EC5986"/>
    <w:rsid w:val="00EC5C8A"/>
    <w:rsid w:val="00EC5D8E"/>
    <w:rsid w:val="00EC5F1A"/>
    <w:rsid w:val="00EC60B0"/>
    <w:rsid w:val="00EC63A5"/>
    <w:rsid w:val="00EC644B"/>
    <w:rsid w:val="00EC6AF4"/>
    <w:rsid w:val="00EC7137"/>
    <w:rsid w:val="00EC7237"/>
    <w:rsid w:val="00EC7C53"/>
    <w:rsid w:val="00ED0D2C"/>
    <w:rsid w:val="00ED129E"/>
    <w:rsid w:val="00ED13BC"/>
    <w:rsid w:val="00ED1575"/>
    <w:rsid w:val="00ED16C8"/>
    <w:rsid w:val="00ED18EA"/>
    <w:rsid w:val="00ED1907"/>
    <w:rsid w:val="00ED1A42"/>
    <w:rsid w:val="00ED1AF6"/>
    <w:rsid w:val="00ED216A"/>
    <w:rsid w:val="00ED29ED"/>
    <w:rsid w:val="00ED2C75"/>
    <w:rsid w:val="00ED31E3"/>
    <w:rsid w:val="00ED3348"/>
    <w:rsid w:val="00ED33DF"/>
    <w:rsid w:val="00ED3455"/>
    <w:rsid w:val="00ED3575"/>
    <w:rsid w:val="00ED3766"/>
    <w:rsid w:val="00ED37DA"/>
    <w:rsid w:val="00ED394F"/>
    <w:rsid w:val="00ED3B30"/>
    <w:rsid w:val="00ED3ECA"/>
    <w:rsid w:val="00ED43B2"/>
    <w:rsid w:val="00ED4B5E"/>
    <w:rsid w:val="00ED4E40"/>
    <w:rsid w:val="00ED4F44"/>
    <w:rsid w:val="00ED4F9C"/>
    <w:rsid w:val="00ED546E"/>
    <w:rsid w:val="00ED5EDE"/>
    <w:rsid w:val="00ED638A"/>
    <w:rsid w:val="00ED6A62"/>
    <w:rsid w:val="00ED6B6D"/>
    <w:rsid w:val="00ED7099"/>
    <w:rsid w:val="00ED7289"/>
    <w:rsid w:val="00ED7448"/>
    <w:rsid w:val="00ED74D8"/>
    <w:rsid w:val="00EE05B5"/>
    <w:rsid w:val="00EE074A"/>
    <w:rsid w:val="00EE0B9B"/>
    <w:rsid w:val="00EE10F9"/>
    <w:rsid w:val="00EE1581"/>
    <w:rsid w:val="00EE1BD6"/>
    <w:rsid w:val="00EE2516"/>
    <w:rsid w:val="00EE2596"/>
    <w:rsid w:val="00EE27E4"/>
    <w:rsid w:val="00EE2830"/>
    <w:rsid w:val="00EE2BFE"/>
    <w:rsid w:val="00EE307E"/>
    <w:rsid w:val="00EE311D"/>
    <w:rsid w:val="00EE3F3A"/>
    <w:rsid w:val="00EE4236"/>
    <w:rsid w:val="00EE46FC"/>
    <w:rsid w:val="00EE4E12"/>
    <w:rsid w:val="00EE59BA"/>
    <w:rsid w:val="00EE5C34"/>
    <w:rsid w:val="00EE5E52"/>
    <w:rsid w:val="00EE652B"/>
    <w:rsid w:val="00EE659D"/>
    <w:rsid w:val="00EE7210"/>
    <w:rsid w:val="00EE76C4"/>
    <w:rsid w:val="00EE7845"/>
    <w:rsid w:val="00EE7D68"/>
    <w:rsid w:val="00EF0134"/>
    <w:rsid w:val="00EF05EE"/>
    <w:rsid w:val="00EF1706"/>
    <w:rsid w:val="00EF1760"/>
    <w:rsid w:val="00EF1D25"/>
    <w:rsid w:val="00EF2119"/>
    <w:rsid w:val="00EF2198"/>
    <w:rsid w:val="00EF2265"/>
    <w:rsid w:val="00EF2CE1"/>
    <w:rsid w:val="00EF33B9"/>
    <w:rsid w:val="00EF41C0"/>
    <w:rsid w:val="00EF49AA"/>
    <w:rsid w:val="00EF4A26"/>
    <w:rsid w:val="00EF4A52"/>
    <w:rsid w:val="00EF4CFC"/>
    <w:rsid w:val="00EF52C1"/>
    <w:rsid w:val="00EF5F88"/>
    <w:rsid w:val="00EF62BB"/>
    <w:rsid w:val="00EF644B"/>
    <w:rsid w:val="00EF7187"/>
    <w:rsid w:val="00EF720F"/>
    <w:rsid w:val="00EF721C"/>
    <w:rsid w:val="00EF74BE"/>
    <w:rsid w:val="00F008C5"/>
    <w:rsid w:val="00F015C7"/>
    <w:rsid w:val="00F0161A"/>
    <w:rsid w:val="00F01EED"/>
    <w:rsid w:val="00F01F40"/>
    <w:rsid w:val="00F02188"/>
    <w:rsid w:val="00F0356A"/>
    <w:rsid w:val="00F036A6"/>
    <w:rsid w:val="00F039CA"/>
    <w:rsid w:val="00F03AEB"/>
    <w:rsid w:val="00F04B7D"/>
    <w:rsid w:val="00F04FF6"/>
    <w:rsid w:val="00F05386"/>
    <w:rsid w:val="00F054D2"/>
    <w:rsid w:val="00F05B24"/>
    <w:rsid w:val="00F06322"/>
    <w:rsid w:val="00F073FB"/>
    <w:rsid w:val="00F07401"/>
    <w:rsid w:val="00F077F9"/>
    <w:rsid w:val="00F07848"/>
    <w:rsid w:val="00F07B28"/>
    <w:rsid w:val="00F07CA6"/>
    <w:rsid w:val="00F07E45"/>
    <w:rsid w:val="00F106F9"/>
    <w:rsid w:val="00F10879"/>
    <w:rsid w:val="00F10E54"/>
    <w:rsid w:val="00F10E7B"/>
    <w:rsid w:val="00F11058"/>
    <w:rsid w:val="00F115EB"/>
    <w:rsid w:val="00F11851"/>
    <w:rsid w:val="00F11C22"/>
    <w:rsid w:val="00F11D5B"/>
    <w:rsid w:val="00F12A49"/>
    <w:rsid w:val="00F12FA9"/>
    <w:rsid w:val="00F1323D"/>
    <w:rsid w:val="00F132DB"/>
    <w:rsid w:val="00F1352A"/>
    <w:rsid w:val="00F13AA2"/>
    <w:rsid w:val="00F14081"/>
    <w:rsid w:val="00F15661"/>
    <w:rsid w:val="00F15667"/>
    <w:rsid w:val="00F1566A"/>
    <w:rsid w:val="00F156E6"/>
    <w:rsid w:val="00F15C3B"/>
    <w:rsid w:val="00F169B8"/>
    <w:rsid w:val="00F17142"/>
    <w:rsid w:val="00F17217"/>
    <w:rsid w:val="00F20199"/>
    <w:rsid w:val="00F205D4"/>
    <w:rsid w:val="00F20831"/>
    <w:rsid w:val="00F214F9"/>
    <w:rsid w:val="00F21B02"/>
    <w:rsid w:val="00F2218F"/>
    <w:rsid w:val="00F225C6"/>
    <w:rsid w:val="00F225E0"/>
    <w:rsid w:val="00F225F1"/>
    <w:rsid w:val="00F227B7"/>
    <w:rsid w:val="00F2317E"/>
    <w:rsid w:val="00F23263"/>
    <w:rsid w:val="00F23A68"/>
    <w:rsid w:val="00F23C38"/>
    <w:rsid w:val="00F2431D"/>
    <w:rsid w:val="00F243F8"/>
    <w:rsid w:val="00F24B42"/>
    <w:rsid w:val="00F25161"/>
    <w:rsid w:val="00F25165"/>
    <w:rsid w:val="00F25A1A"/>
    <w:rsid w:val="00F267EE"/>
    <w:rsid w:val="00F26891"/>
    <w:rsid w:val="00F26CA9"/>
    <w:rsid w:val="00F27180"/>
    <w:rsid w:val="00F27507"/>
    <w:rsid w:val="00F277A5"/>
    <w:rsid w:val="00F277B7"/>
    <w:rsid w:val="00F27AC8"/>
    <w:rsid w:val="00F27E0C"/>
    <w:rsid w:val="00F27F24"/>
    <w:rsid w:val="00F303CC"/>
    <w:rsid w:val="00F3109B"/>
    <w:rsid w:val="00F31517"/>
    <w:rsid w:val="00F316BE"/>
    <w:rsid w:val="00F31C24"/>
    <w:rsid w:val="00F31F74"/>
    <w:rsid w:val="00F33020"/>
    <w:rsid w:val="00F33DE4"/>
    <w:rsid w:val="00F340B9"/>
    <w:rsid w:val="00F34539"/>
    <w:rsid w:val="00F35982"/>
    <w:rsid w:val="00F359C2"/>
    <w:rsid w:val="00F36699"/>
    <w:rsid w:val="00F368FC"/>
    <w:rsid w:val="00F3706A"/>
    <w:rsid w:val="00F37921"/>
    <w:rsid w:val="00F40065"/>
    <w:rsid w:val="00F4076B"/>
    <w:rsid w:val="00F40DB9"/>
    <w:rsid w:val="00F40E12"/>
    <w:rsid w:val="00F4139D"/>
    <w:rsid w:val="00F418F8"/>
    <w:rsid w:val="00F41DD3"/>
    <w:rsid w:val="00F41F96"/>
    <w:rsid w:val="00F420EC"/>
    <w:rsid w:val="00F424F8"/>
    <w:rsid w:val="00F42D5E"/>
    <w:rsid w:val="00F4338C"/>
    <w:rsid w:val="00F43468"/>
    <w:rsid w:val="00F4373D"/>
    <w:rsid w:val="00F43DB1"/>
    <w:rsid w:val="00F43EC0"/>
    <w:rsid w:val="00F440DB"/>
    <w:rsid w:val="00F44730"/>
    <w:rsid w:val="00F44A4B"/>
    <w:rsid w:val="00F44B8A"/>
    <w:rsid w:val="00F44FF2"/>
    <w:rsid w:val="00F45571"/>
    <w:rsid w:val="00F45F48"/>
    <w:rsid w:val="00F4644B"/>
    <w:rsid w:val="00F46BE5"/>
    <w:rsid w:val="00F46E73"/>
    <w:rsid w:val="00F50A0E"/>
    <w:rsid w:val="00F50CA1"/>
    <w:rsid w:val="00F50E2D"/>
    <w:rsid w:val="00F50FB8"/>
    <w:rsid w:val="00F51B34"/>
    <w:rsid w:val="00F521DF"/>
    <w:rsid w:val="00F53639"/>
    <w:rsid w:val="00F53DD2"/>
    <w:rsid w:val="00F5410B"/>
    <w:rsid w:val="00F54D42"/>
    <w:rsid w:val="00F54E24"/>
    <w:rsid w:val="00F55293"/>
    <w:rsid w:val="00F568EA"/>
    <w:rsid w:val="00F56FA6"/>
    <w:rsid w:val="00F5730A"/>
    <w:rsid w:val="00F5760D"/>
    <w:rsid w:val="00F60006"/>
    <w:rsid w:val="00F600F8"/>
    <w:rsid w:val="00F603F3"/>
    <w:rsid w:val="00F60515"/>
    <w:rsid w:val="00F60B1F"/>
    <w:rsid w:val="00F60C40"/>
    <w:rsid w:val="00F611DE"/>
    <w:rsid w:val="00F61988"/>
    <w:rsid w:val="00F619B0"/>
    <w:rsid w:val="00F61F07"/>
    <w:rsid w:val="00F6229F"/>
    <w:rsid w:val="00F62B6B"/>
    <w:rsid w:val="00F62BEA"/>
    <w:rsid w:val="00F62C5B"/>
    <w:rsid w:val="00F62EAC"/>
    <w:rsid w:val="00F636F5"/>
    <w:rsid w:val="00F63749"/>
    <w:rsid w:val="00F63D45"/>
    <w:rsid w:val="00F64545"/>
    <w:rsid w:val="00F64BED"/>
    <w:rsid w:val="00F6505D"/>
    <w:rsid w:val="00F650B2"/>
    <w:rsid w:val="00F65503"/>
    <w:rsid w:val="00F65573"/>
    <w:rsid w:val="00F65677"/>
    <w:rsid w:val="00F65B1C"/>
    <w:rsid w:val="00F66110"/>
    <w:rsid w:val="00F66447"/>
    <w:rsid w:val="00F66465"/>
    <w:rsid w:val="00F6695C"/>
    <w:rsid w:val="00F66B0D"/>
    <w:rsid w:val="00F66D93"/>
    <w:rsid w:val="00F66F55"/>
    <w:rsid w:val="00F67DFB"/>
    <w:rsid w:val="00F70214"/>
    <w:rsid w:val="00F71FF1"/>
    <w:rsid w:val="00F7210F"/>
    <w:rsid w:val="00F72DCA"/>
    <w:rsid w:val="00F73CA2"/>
    <w:rsid w:val="00F73E5F"/>
    <w:rsid w:val="00F74705"/>
    <w:rsid w:val="00F7498D"/>
    <w:rsid w:val="00F75C85"/>
    <w:rsid w:val="00F760F3"/>
    <w:rsid w:val="00F76191"/>
    <w:rsid w:val="00F76394"/>
    <w:rsid w:val="00F768BB"/>
    <w:rsid w:val="00F77032"/>
    <w:rsid w:val="00F775BE"/>
    <w:rsid w:val="00F777B1"/>
    <w:rsid w:val="00F7781C"/>
    <w:rsid w:val="00F8054F"/>
    <w:rsid w:val="00F8086A"/>
    <w:rsid w:val="00F811B0"/>
    <w:rsid w:val="00F81903"/>
    <w:rsid w:val="00F82BC4"/>
    <w:rsid w:val="00F82BDC"/>
    <w:rsid w:val="00F831E9"/>
    <w:rsid w:val="00F832DE"/>
    <w:rsid w:val="00F83766"/>
    <w:rsid w:val="00F8379C"/>
    <w:rsid w:val="00F837DC"/>
    <w:rsid w:val="00F83CFE"/>
    <w:rsid w:val="00F83D0F"/>
    <w:rsid w:val="00F83D36"/>
    <w:rsid w:val="00F84270"/>
    <w:rsid w:val="00F8441E"/>
    <w:rsid w:val="00F8473D"/>
    <w:rsid w:val="00F8484D"/>
    <w:rsid w:val="00F84BA6"/>
    <w:rsid w:val="00F84D70"/>
    <w:rsid w:val="00F84E8C"/>
    <w:rsid w:val="00F85500"/>
    <w:rsid w:val="00F85625"/>
    <w:rsid w:val="00F85973"/>
    <w:rsid w:val="00F85A7F"/>
    <w:rsid w:val="00F85DCE"/>
    <w:rsid w:val="00F87A42"/>
    <w:rsid w:val="00F91354"/>
    <w:rsid w:val="00F91D46"/>
    <w:rsid w:val="00F92361"/>
    <w:rsid w:val="00F9304A"/>
    <w:rsid w:val="00F9327D"/>
    <w:rsid w:val="00F932EC"/>
    <w:rsid w:val="00F934B6"/>
    <w:rsid w:val="00F934DB"/>
    <w:rsid w:val="00F93624"/>
    <w:rsid w:val="00F94189"/>
    <w:rsid w:val="00F944CA"/>
    <w:rsid w:val="00F944EB"/>
    <w:rsid w:val="00F9468B"/>
    <w:rsid w:val="00F9493B"/>
    <w:rsid w:val="00F949A6"/>
    <w:rsid w:val="00F961DA"/>
    <w:rsid w:val="00F967B1"/>
    <w:rsid w:val="00F96977"/>
    <w:rsid w:val="00F96AF4"/>
    <w:rsid w:val="00F96B7F"/>
    <w:rsid w:val="00F96BBD"/>
    <w:rsid w:val="00F96D3B"/>
    <w:rsid w:val="00F96DBF"/>
    <w:rsid w:val="00F971E0"/>
    <w:rsid w:val="00F976F4"/>
    <w:rsid w:val="00FA0178"/>
    <w:rsid w:val="00FA08BF"/>
    <w:rsid w:val="00FA0D69"/>
    <w:rsid w:val="00FA105B"/>
    <w:rsid w:val="00FA1186"/>
    <w:rsid w:val="00FA1AE4"/>
    <w:rsid w:val="00FA1B2D"/>
    <w:rsid w:val="00FA1C94"/>
    <w:rsid w:val="00FA1F50"/>
    <w:rsid w:val="00FA2007"/>
    <w:rsid w:val="00FA245B"/>
    <w:rsid w:val="00FA2872"/>
    <w:rsid w:val="00FA2E6B"/>
    <w:rsid w:val="00FA30E1"/>
    <w:rsid w:val="00FA33F3"/>
    <w:rsid w:val="00FA3456"/>
    <w:rsid w:val="00FA3CEC"/>
    <w:rsid w:val="00FA438B"/>
    <w:rsid w:val="00FA4864"/>
    <w:rsid w:val="00FA4D20"/>
    <w:rsid w:val="00FA6113"/>
    <w:rsid w:val="00FA61CD"/>
    <w:rsid w:val="00FA6D53"/>
    <w:rsid w:val="00FA7403"/>
    <w:rsid w:val="00FA76B4"/>
    <w:rsid w:val="00FA7C92"/>
    <w:rsid w:val="00FA7DC8"/>
    <w:rsid w:val="00FA7EA6"/>
    <w:rsid w:val="00FA7F2B"/>
    <w:rsid w:val="00FB024F"/>
    <w:rsid w:val="00FB05E3"/>
    <w:rsid w:val="00FB10E6"/>
    <w:rsid w:val="00FB1308"/>
    <w:rsid w:val="00FB162F"/>
    <w:rsid w:val="00FB16A1"/>
    <w:rsid w:val="00FB1710"/>
    <w:rsid w:val="00FB1738"/>
    <w:rsid w:val="00FB2511"/>
    <w:rsid w:val="00FB25E5"/>
    <w:rsid w:val="00FB2B98"/>
    <w:rsid w:val="00FB2BD3"/>
    <w:rsid w:val="00FB2C4B"/>
    <w:rsid w:val="00FB2DCB"/>
    <w:rsid w:val="00FB33D1"/>
    <w:rsid w:val="00FB3B20"/>
    <w:rsid w:val="00FB3F73"/>
    <w:rsid w:val="00FB42FB"/>
    <w:rsid w:val="00FB4A04"/>
    <w:rsid w:val="00FB4BBE"/>
    <w:rsid w:val="00FB4EC4"/>
    <w:rsid w:val="00FB5056"/>
    <w:rsid w:val="00FB55C6"/>
    <w:rsid w:val="00FB5ECA"/>
    <w:rsid w:val="00FB67A2"/>
    <w:rsid w:val="00FB6B1E"/>
    <w:rsid w:val="00FB7123"/>
    <w:rsid w:val="00FB773E"/>
    <w:rsid w:val="00FB7A77"/>
    <w:rsid w:val="00FB7C5E"/>
    <w:rsid w:val="00FB7C7C"/>
    <w:rsid w:val="00FB7DA4"/>
    <w:rsid w:val="00FC0692"/>
    <w:rsid w:val="00FC099A"/>
    <w:rsid w:val="00FC0A44"/>
    <w:rsid w:val="00FC0E9F"/>
    <w:rsid w:val="00FC1498"/>
    <w:rsid w:val="00FC1598"/>
    <w:rsid w:val="00FC1B04"/>
    <w:rsid w:val="00FC1F01"/>
    <w:rsid w:val="00FC25B3"/>
    <w:rsid w:val="00FC28EB"/>
    <w:rsid w:val="00FC2B0A"/>
    <w:rsid w:val="00FC2CDA"/>
    <w:rsid w:val="00FC30F1"/>
    <w:rsid w:val="00FC3A35"/>
    <w:rsid w:val="00FC4399"/>
    <w:rsid w:val="00FC44EF"/>
    <w:rsid w:val="00FC44F1"/>
    <w:rsid w:val="00FC4885"/>
    <w:rsid w:val="00FC51C4"/>
    <w:rsid w:val="00FC520D"/>
    <w:rsid w:val="00FC5EA8"/>
    <w:rsid w:val="00FC6D1F"/>
    <w:rsid w:val="00FC6FAB"/>
    <w:rsid w:val="00FC74EA"/>
    <w:rsid w:val="00FC7996"/>
    <w:rsid w:val="00FC7BA6"/>
    <w:rsid w:val="00FD0276"/>
    <w:rsid w:val="00FD055B"/>
    <w:rsid w:val="00FD0791"/>
    <w:rsid w:val="00FD0950"/>
    <w:rsid w:val="00FD0D23"/>
    <w:rsid w:val="00FD1FB1"/>
    <w:rsid w:val="00FD242C"/>
    <w:rsid w:val="00FD247D"/>
    <w:rsid w:val="00FD3937"/>
    <w:rsid w:val="00FD3C88"/>
    <w:rsid w:val="00FD405A"/>
    <w:rsid w:val="00FD40B5"/>
    <w:rsid w:val="00FD44E8"/>
    <w:rsid w:val="00FD460F"/>
    <w:rsid w:val="00FD48A1"/>
    <w:rsid w:val="00FD5084"/>
    <w:rsid w:val="00FD5667"/>
    <w:rsid w:val="00FD5DA0"/>
    <w:rsid w:val="00FD5FD3"/>
    <w:rsid w:val="00FD6191"/>
    <w:rsid w:val="00FD6B59"/>
    <w:rsid w:val="00FD6D77"/>
    <w:rsid w:val="00FD6F18"/>
    <w:rsid w:val="00FD70EF"/>
    <w:rsid w:val="00FD7C31"/>
    <w:rsid w:val="00FE08B9"/>
    <w:rsid w:val="00FE10B0"/>
    <w:rsid w:val="00FE1501"/>
    <w:rsid w:val="00FE1DCC"/>
    <w:rsid w:val="00FE28F0"/>
    <w:rsid w:val="00FE2A10"/>
    <w:rsid w:val="00FE35A1"/>
    <w:rsid w:val="00FE3750"/>
    <w:rsid w:val="00FE3807"/>
    <w:rsid w:val="00FE3FB6"/>
    <w:rsid w:val="00FE4145"/>
    <w:rsid w:val="00FE41AA"/>
    <w:rsid w:val="00FE45C7"/>
    <w:rsid w:val="00FE4BB3"/>
    <w:rsid w:val="00FE4E88"/>
    <w:rsid w:val="00FE5149"/>
    <w:rsid w:val="00FE5153"/>
    <w:rsid w:val="00FE56F5"/>
    <w:rsid w:val="00FE598D"/>
    <w:rsid w:val="00FE643A"/>
    <w:rsid w:val="00FE6930"/>
    <w:rsid w:val="00FE6C3D"/>
    <w:rsid w:val="00FE7177"/>
    <w:rsid w:val="00FE71F0"/>
    <w:rsid w:val="00FE760A"/>
    <w:rsid w:val="00FE798D"/>
    <w:rsid w:val="00FE79B5"/>
    <w:rsid w:val="00FE7BFB"/>
    <w:rsid w:val="00FF003B"/>
    <w:rsid w:val="00FF08E9"/>
    <w:rsid w:val="00FF0CFC"/>
    <w:rsid w:val="00FF0DB2"/>
    <w:rsid w:val="00FF0ED3"/>
    <w:rsid w:val="00FF1137"/>
    <w:rsid w:val="00FF12F0"/>
    <w:rsid w:val="00FF19BA"/>
    <w:rsid w:val="00FF1DC5"/>
    <w:rsid w:val="00FF20CE"/>
    <w:rsid w:val="00FF22B8"/>
    <w:rsid w:val="00FF22DC"/>
    <w:rsid w:val="00FF29B8"/>
    <w:rsid w:val="00FF306E"/>
    <w:rsid w:val="00FF33AE"/>
    <w:rsid w:val="00FF3718"/>
    <w:rsid w:val="00FF38C2"/>
    <w:rsid w:val="00FF3B2D"/>
    <w:rsid w:val="00FF3BA2"/>
    <w:rsid w:val="00FF3EF3"/>
    <w:rsid w:val="00FF42A8"/>
    <w:rsid w:val="00FF4D5C"/>
    <w:rsid w:val="00FF4DB7"/>
    <w:rsid w:val="00FF62E3"/>
    <w:rsid w:val="00FF6445"/>
    <w:rsid w:val="00FF6E2D"/>
    <w:rsid w:val="00FF7498"/>
    <w:rsid w:val="00FF7A72"/>
    <w:rsid w:val="00FF7B91"/>
    <w:rsid w:val="00FF7F65"/>
    <w:rsid w:val="013864E7"/>
    <w:rsid w:val="013B33E4"/>
    <w:rsid w:val="01DD669F"/>
    <w:rsid w:val="0202187A"/>
    <w:rsid w:val="020C396B"/>
    <w:rsid w:val="02187A32"/>
    <w:rsid w:val="02316129"/>
    <w:rsid w:val="024D44CA"/>
    <w:rsid w:val="02881171"/>
    <w:rsid w:val="028B3F7D"/>
    <w:rsid w:val="02AC5A72"/>
    <w:rsid w:val="02B11EFA"/>
    <w:rsid w:val="02DF1744"/>
    <w:rsid w:val="02DF7C08"/>
    <w:rsid w:val="02F30EC6"/>
    <w:rsid w:val="03101E04"/>
    <w:rsid w:val="032E3F90"/>
    <w:rsid w:val="038610A3"/>
    <w:rsid w:val="03D95095"/>
    <w:rsid w:val="03FD6699"/>
    <w:rsid w:val="040D421B"/>
    <w:rsid w:val="04452310"/>
    <w:rsid w:val="0459572E"/>
    <w:rsid w:val="04615734"/>
    <w:rsid w:val="04647342"/>
    <w:rsid w:val="048E1633"/>
    <w:rsid w:val="05002A44"/>
    <w:rsid w:val="05233EFD"/>
    <w:rsid w:val="0532432E"/>
    <w:rsid w:val="055238E6"/>
    <w:rsid w:val="05877085"/>
    <w:rsid w:val="05AB50DB"/>
    <w:rsid w:val="05B231ED"/>
    <w:rsid w:val="05F17DCE"/>
    <w:rsid w:val="061A7FA4"/>
    <w:rsid w:val="062937AB"/>
    <w:rsid w:val="06331B3C"/>
    <w:rsid w:val="06906868"/>
    <w:rsid w:val="06990716"/>
    <w:rsid w:val="06D44078"/>
    <w:rsid w:val="06EB144E"/>
    <w:rsid w:val="06FC021C"/>
    <w:rsid w:val="06FC3783"/>
    <w:rsid w:val="071A2D33"/>
    <w:rsid w:val="072858CC"/>
    <w:rsid w:val="076E27BD"/>
    <w:rsid w:val="077C1F15"/>
    <w:rsid w:val="07D14A60"/>
    <w:rsid w:val="07E2057E"/>
    <w:rsid w:val="083C6A08"/>
    <w:rsid w:val="08760617"/>
    <w:rsid w:val="088C7CA1"/>
    <w:rsid w:val="08AA4743"/>
    <w:rsid w:val="08C21B0E"/>
    <w:rsid w:val="08D64FBD"/>
    <w:rsid w:val="08E76FC4"/>
    <w:rsid w:val="08F12939"/>
    <w:rsid w:val="09046F34"/>
    <w:rsid w:val="098E4953"/>
    <w:rsid w:val="09C62E72"/>
    <w:rsid w:val="09D14089"/>
    <w:rsid w:val="0A300072"/>
    <w:rsid w:val="0A494654"/>
    <w:rsid w:val="0A5536AC"/>
    <w:rsid w:val="0A5C1256"/>
    <w:rsid w:val="0A6404D1"/>
    <w:rsid w:val="0A665D1E"/>
    <w:rsid w:val="0A687D12"/>
    <w:rsid w:val="0AA43604"/>
    <w:rsid w:val="0AA46AD5"/>
    <w:rsid w:val="0AA66B07"/>
    <w:rsid w:val="0AF13704"/>
    <w:rsid w:val="0B005F1C"/>
    <w:rsid w:val="0B566B62"/>
    <w:rsid w:val="0B8571DB"/>
    <w:rsid w:val="0B9F0063"/>
    <w:rsid w:val="0BAB1E20"/>
    <w:rsid w:val="0BBC084E"/>
    <w:rsid w:val="0BD26275"/>
    <w:rsid w:val="0BE0558A"/>
    <w:rsid w:val="0BF77278"/>
    <w:rsid w:val="0C1E506F"/>
    <w:rsid w:val="0C273780"/>
    <w:rsid w:val="0C314090"/>
    <w:rsid w:val="0C430CBD"/>
    <w:rsid w:val="0C5B309A"/>
    <w:rsid w:val="0C6128CB"/>
    <w:rsid w:val="0CDF0124"/>
    <w:rsid w:val="0D701199"/>
    <w:rsid w:val="0D7B5FD6"/>
    <w:rsid w:val="0D8B77C4"/>
    <w:rsid w:val="0DD06958"/>
    <w:rsid w:val="0DD52BDF"/>
    <w:rsid w:val="0DFA596C"/>
    <w:rsid w:val="0DFD4724"/>
    <w:rsid w:val="0E03350D"/>
    <w:rsid w:val="0E413A70"/>
    <w:rsid w:val="0E4837C0"/>
    <w:rsid w:val="0E511B0C"/>
    <w:rsid w:val="0E646E44"/>
    <w:rsid w:val="0E6507AC"/>
    <w:rsid w:val="0E750A47"/>
    <w:rsid w:val="0E7B2950"/>
    <w:rsid w:val="0E9124D4"/>
    <w:rsid w:val="0EBC11BB"/>
    <w:rsid w:val="0ECC1FC2"/>
    <w:rsid w:val="0EDC34D3"/>
    <w:rsid w:val="0EE2205A"/>
    <w:rsid w:val="0EF3740E"/>
    <w:rsid w:val="0F545DCB"/>
    <w:rsid w:val="0F894381"/>
    <w:rsid w:val="0FE80102"/>
    <w:rsid w:val="1014691D"/>
    <w:rsid w:val="104526F2"/>
    <w:rsid w:val="108E337B"/>
    <w:rsid w:val="109605E0"/>
    <w:rsid w:val="10A44294"/>
    <w:rsid w:val="10DF685D"/>
    <w:rsid w:val="10E267FD"/>
    <w:rsid w:val="116D2867"/>
    <w:rsid w:val="117321D8"/>
    <w:rsid w:val="122515A1"/>
    <w:rsid w:val="123A4A53"/>
    <w:rsid w:val="124F1B3F"/>
    <w:rsid w:val="12A63711"/>
    <w:rsid w:val="12C82F5F"/>
    <w:rsid w:val="132C4B73"/>
    <w:rsid w:val="13E77B33"/>
    <w:rsid w:val="13F62F21"/>
    <w:rsid w:val="14052967"/>
    <w:rsid w:val="14101F81"/>
    <w:rsid w:val="1427091D"/>
    <w:rsid w:val="142F15AD"/>
    <w:rsid w:val="14AE4428"/>
    <w:rsid w:val="14BC0E10"/>
    <w:rsid w:val="1504288A"/>
    <w:rsid w:val="154B51FC"/>
    <w:rsid w:val="15994AB7"/>
    <w:rsid w:val="15BE773A"/>
    <w:rsid w:val="15DA15E8"/>
    <w:rsid w:val="163E26E5"/>
    <w:rsid w:val="16896045"/>
    <w:rsid w:val="169108E1"/>
    <w:rsid w:val="16A82F59"/>
    <w:rsid w:val="16B53F7B"/>
    <w:rsid w:val="171112E5"/>
    <w:rsid w:val="17241A9B"/>
    <w:rsid w:val="17252504"/>
    <w:rsid w:val="176B7E7A"/>
    <w:rsid w:val="17B368F0"/>
    <w:rsid w:val="18124F97"/>
    <w:rsid w:val="18505B82"/>
    <w:rsid w:val="189F6DE3"/>
    <w:rsid w:val="18A62A00"/>
    <w:rsid w:val="18B10D91"/>
    <w:rsid w:val="18D84154"/>
    <w:rsid w:val="18FA52C2"/>
    <w:rsid w:val="192C06DB"/>
    <w:rsid w:val="19300C91"/>
    <w:rsid w:val="193B5472"/>
    <w:rsid w:val="196956CC"/>
    <w:rsid w:val="196C3A5B"/>
    <w:rsid w:val="198951F1"/>
    <w:rsid w:val="19A42937"/>
    <w:rsid w:val="19DD1797"/>
    <w:rsid w:val="19E24653"/>
    <w:rsid w:val="1A2D3B01"/>
    <w:rsid w:val="1A3F44C8"/>
    <w:rsid w:val="1AA33E41"/>
    <w:rsid w:val="1AB444C6"/>
    <w:rsid w:val="1AB56208"/>
    <w:rsid w:val="1AD60CBA"/>
    <w:rsid w:val="1AEE3BBF"/>
    <w:rsid w:val="1AF9414E"/>
    <w:rsid w:val="1B0E08CC"/>
    <w:rsid w:val="1B795E32"/>
    <w:rsid w:val="1B797F1F"/>
    <w:rsid w:val="1B7B144B"/>
    <w:rsid w:val="1B916380"/>
    <w:rsid w:val="1B974B3F"/>
    <w:rsid w:val="1BA173D0"/>
    <w:rsid w:val="1BA701BE"/>
    <w:rsid w:val="1BCC38EE"/>
    <w:rsid w:val="1C466F90"/>
    <w:rsid w:val="1C7759E2"/>
    <w:rsid w:val="1C7C400D"/>
    <w:rsid w:val="1CDC7B67"/>
    <w:rsid w:val="1CE5739A"/>
    <w:rsid w:val="1D1013CE"/>
    <w:rsid w:val="1D3A59A0"/>
    <w:rsid w:val="1D4F6336"/>
    <w:rsid w:val="1DCC2CF2"/>
    <w:rsid w:val="1DCF03F4"/>
    <w:rsid w:val="1DD225F2"/>
    <w:rsid w:val="1E37564B"/>
    <w:rsid w:val="1E880EA7"/>
    <w:rsid w:val="1E8C199C"/>
    <w:rsid w:val="1ED90811"/>
    <w:rsid w:val="1F3C1C4F"/>
    <w:rsid w:val="1F606356"/>
    <w:rsid w:val="1F840226"/>
    <w:rsid w:val="1FB5611A"/>
    <w:rsid w:val="1FBC5A21"/>
    <w:rsid w:val="1FD552C6"/>
    <w:rsid w:val="20026C20"/>
    <w:rsid w:val="208C6FF3"/>
    <w:rsid w:val="20C33323"/>
    <w:rsid w:val="20DE023D"/>
    <w:rsid w:val="211C55DD"/>
    <w:rsid w:val="213700A7"/>
    <w:rsid w:val="21424C05"/>
    <w:rsid w:val="215F44C5"/>
    <w:rsid w:val="216D40E2"/>
    <w:rsid w:val="21D83EDC"/>
    <w:rsid w:val="221C0A03"/>
    <w:rsid w:val="22467F14"/>
    <w:rsid w:val="226F2A0B"/>
    <w:rsid w:val="2297034D"/>
    <w:rsid w:val="23211173"/>
    <w:rsid w:val="23547470"/>
    <w:rsid w:val="236F7E55"/>
    <w:rsid w:val="237A41C3"/>
    <w:rsid w:val="239A3940"/>
    <w:rsid w:val="24151DA9"/>
    <w:rsid w:val="24390A53"/>
    <w:rsid w:val="245676E4"/>
    <w:rsid w:val="24575098"/>
    <w:rsid w:val="24A03FA5"/>
    <w:rsid w:val="25171665"/>
    <w:rsid w:val="253A206B"/>
    <w:rsid w:val="254451E5"/>
    <w:rsid w:val="254E75C1"/>
    <w:rsid w:val="25530FF4"/>
    <w:rsid w:val="25A70F54"/>
    <w:rsid w:val="25BF65FB"/>
    <w:rsid w:val="25CD58A9"/>
    <w:rsid w:val="25FD3529"/>
    <w:rsid w:val="263F23CC"/>
    <w:rsid w:val="26752B7E"/>
    <w:rsid w:val="26C24F24"/>
    <w:rsid w:val="26E044D4"/>
    <w:rsid w:val="26FA0901"/>
    <w:rsid w:val="27094A6A"/>
    <w:rsid w:val="2710250D"/>
    <w:rsid w:val="2719799B"/>
    <w:rsid w:val="27AC76A4"/>
    <w:rsid w:val="27BE544E"/>
    <w:rsid w:val="28173E72"/>
    <w:rsid w:val="28176969"/>
    <w:rsid w:val="28705825"/>
    <w:rsid w:val="289A5900"/>
    <w:rsid w:val="28A4093D"/>
    <w:rsid w:val="28DE746D"/>
    <w:rsid w:val="296862B1"/>
    <w:rsid w:val="296A2931"/>
    <w:rsid w:val="29706357"/>
    <w:rsid w:val="29A77266"/>
    <w:rsid w:val="29D92F23"/>
    <w:rsid w:val="29D976E3"/>
    <w:rsid w:val="2A0D3618"/>
    <w:rsid w:val="2A206E61"/>
    <w:rsid w:val="2A282489"/>
    <w:rsid w:val="2A3D51DB"/>
    <w:rsid w:val="2A4771F1"/>
    <w:rsid w:val="2A65091E"/>
    <w:rsid w:val="2AA65B04"/>
    <w:rsid w:val="2AD56653"/>
    <w:rsid w:val="2AD81D39"/>
    <w:rsid w:val="2B1A35C9"/>
    <w:rsid w:val="2B3C72FC"/>
    <w:rsid w:val="2B5B432E"/>
    <w:rsid w:val="2B613AA7"/>
    <w:rsid w:val="2B692923"/>
    <w:rsid w:val="2B6C58CD"/>
    <w:rsid w:val="2B833377"/>
    <w:rsid w:val="2C1F77B4"/>
    <w:rsid w:val="2C6270DE"/>
    <w:rsid w:val="2C661BD8"/>
    <w:rsid w:val="2C966B26"/>
    <w:rsid w:val="2CA7714F"/>
    <w:rsid w:val="2CD018FF"/>
    <w:rsid w:val="2CF32028"/>
    <w:rsid w:val="2D4F64B2"/>
    <w:rsid w:val="2D9902BC"/>
    <w:rsid w:val="2DC538FD"/>
    <w:rsid w:val="2E3941D2"/>
    <w:rsid w:val="2E6C0939"/>
    <w:rsid w:val="2E814388"/>
    <w:rsid w:val="2E910CA1"/>
    <w:rsid w:val="2E932876"/>
    <w:rsid w:val="2EA312EC"/>
    <w:rsid w:val="2ED2093C"/>
    <w:rsid w:val="2EE62680"/>
    <w:rsid w:val="2F263059"/>
    <w:rsid w:val="2F3611F3"/>
    <w:rsid w:val="2F4F7ED1"/>
    <w:rsid w:val="2F527D85"/>
    <w:rsid w:val="2F987F26"/>
    <w:rsid w:val="2FC13913"/>
    <w:rsid w:val="2FF93D0E"/>
    <w:rsid w:val="3060796F"/>
    <w:rsid w:val="309F3480"/>
    <w:rsid w:val="30B25E52"/>
    <w:rsid w:val="311255A3"/>
    <w:rsid w:val="31241A43"/>
    <w:rsid w:val="31453221"/>
    <w:rsid w:val="3174292F"/>
    <w:rsid w:val="3177495D"/>
    <w:rsid w:val="31886C3E"/>
    <w:rsid w:val="319A2B6E"/>
    <w:rsid w:val="31D5225C"/>
    <w:rsid w:val="323C54CA"/>
    <w:rsid w:val="32E26388"/>
    <w:rsid w:val="33A22F43"/>
    <w:rsid w:val="33BC4B13"/>
    <w:rsid w:val="33F71109"/>
    <w:rsid w:val="34034262"/>
    <w:rsid w:val="340C2973"/>
    <w:rsid w:val="34284ADA"/>
    <w:rsid w:val="34371907"/>
    <w:rsid w:val="34513A5B"/>
    <w:rsid w:val="34745CA1"/>
    <w:rsid w:val="34764EF3"/>
    <w:rsid w:val="34777AA4"/>
    <w:rsid w:val="348B1FA0"/>
    <w:rsid w:val="34931168"/>
    <w:rsid w:val="34984879"/>
    <w:rsid w:val="349B6784"/>
    <w:rsid w:val="34D658BF"/>
    <w:rsid w:val="350D2195"/>
    <w:rsid w:val="35210791"/>
    <w:rsid w:val="35227A24"/>
    <w:rsid w:val="355F5870"/>
    <w:rsid w:val="358834B1"/>
    <w:rsid w:val="35B04732"/>
    <w:rsid w:val="35C93BCD"/>
    <w:rsid w:val="35FB7752"/>
    <w:rsid w:val="360E1C81"/>
    <w:rsid w:val="36904890"/>
    <w:rsid w:val="369A7B6C"/>
    <w:rsid w:val="369D7429"/>
    <w:rsid w:val="36A061B2"/>
    <w:rsid w:val="36E5781D"/>
    <w:rsid w:val="36F01431"/>
    <w:rsid w:val="37190140"/>
    <w:rsid w:val="3720757F"/>
    <w:rsid w:val="372D004D"/>
    <w:rsid w:val="374F747E"/>
    <w:rsid w:val="379432B0"/>
    <w:rsid w:val="37B36F71"/>
    <w:rsid w:val="37BC032B"/>
    <w:rsid w:val="37F26658"/>
    <w:rsid w:val="38316349"/>
    <w:rsid w:val="383A6641"/>
    <w:rsid w:val="38491D1B"/>
    <w:rsid w:val="389309BB"/>
    <w:rsid w:val="38A57F25"/>
    <w:rsid w:val="38AE6308"/>
    <w:rsid w:val="38C40DF9"/>
    <w:rsid w:val="390252FD"/>
    <w:rsid w:val="392D089F"/>
    <w:rsid w:val="39C82E56"/>
    <w:rsid w:val="3A6368A3"/>
    <w:rsid w:val="3A9D735C"/>
    <w:rsid w:val="3AC126E6"/>
    <w:rsid w:val="3ACF398B"/>
    <w:rsid w:val="3AD1425B"/>
    <w:rsid w:val="3AEA1FB6"/>
    <w:rsid w:val="3B2F4CA9"/>
    <w:rsid w:val="3B6D3254"/>
    <w:rsid w:val="3BA6715A"/>
    <w:rsid w:val="3BAD0369"/>
    <w:rsid w:val="3BD114D5"/>
    <w:rsid w:val="3BD55BD7"/>
    <w:rsid w:val="3BEE1EFB"/>
    <w:rsid w:val="3BEF3108"/>
    <w:rsid w:val="3C402568"/>
    <w:rsid w:val="3C6B47AD"/>
    <w:rsid w:val="3C7B5090"/>
    <w:rsid w:val="3CB54EC5"/>
    <w:rsid w:val="3CD679F8"/>
    <w:rsid w:val="3CE3668D"/>
    <w:rsid w:val="3D8E6FC6"/>
    <w:rsid w:val="3DC54CF2"/>
    <w:rsid w:val="3DCA67EC"/>
    <w:rsid w:val="3DD2747B"/>
    <w:rsid w:val="3E160CEA"/>
    <w:rsid w:val="3ECD2456"/>
    <w:rsid w:val="3EE47352"/>
    <w:rsid w:val="3EEB0E85"/>
    <w:rsid w:val="3F0C41C6"/>
    <w:rsid w:val="3F392259"/>
    <w:rsid w:val="3F484A5E"/>
    <w:rsid w:val="3F4B3C3B"/>
    <w:rsid w:val="3F834DF5"/>
    <w:rsid w:val="3F86702F"/>
    <w:rsid w:val="3F9E326F"/>
    <w:rsid w:val="3FC80832"/>
    <w:rsid w:val="3FC93095"/>
    <w:rsid w:val="3FDE6FDD"/>
    <w:rsid w:val="40051205"/>
    <w:rsid w:val="40083BCA"/>
    <w:rsid w:val="40171A4E"/>
    <w:rsid w:val="404D083A"/>
    <w:rsid w:val="40643F31"/>
    <w:rsid w:val="40757A4F"/>
    <w:rsid w:val="40A75C9F"/>
    <w:rsid w:val="40B44FB5"/>
    <w:rsid w:val="40C21695"/>
    <w:rsid w:val="40D432EC"/>
    <w:rsid w:val="40E81F8C"/>
    <w:rsid w:val="40F4616B"/>
    <w:rsid w:val="413578E1"/>
    <w:rsid w:val="41531FD5"/>
    <w:rsid w:val="416C06B0"/>
    <w:rsid w:val="41B03F53"/>
    <w:rsid w:val="41DD5D1C"/>
    <w:rsid w:val="42113718"/>
    <w:rsid w:val="42122973"/>
    <w:rsid w:val="423A5A7B"/>
    <w:rsid w:val="42482EA8"/>
    <w:rsid w:val="42AA58BC"/>
    <w:rsid w:val="42D870A6"/>
    <w:rsid w:val="42DA01BE"/>
    <w:rsid w:val="42F12386"/>
    <w:rsid w:val="430A3DBA"/>
    <w:rsid w:val="43636E1D"/>
    <w:rsid w:val="4370659E"/>
    <w:rsid w:val="438837D9"/>
    <w:rsid w:val="43AC4269"/>
    <w:rsid w:val="43CE1120"/>
    <w:rsid w:val="43E82AAD"/>
    <w:rsid w:val="43F75112"/>
    <w:rsid w:val="44032AD1"/>
    <w:rsid w:val="440853AC"/>
    <w:rsid w:val="441049B7"/>
    <w:rsid w:val="442635CE"/>
    <w:rsid w:val="442B2FE3"/>
    <w:rsid w:val="443769C1"/>
    <w:rsid w:val="444A3575"/>
    <w:rsid w:val="445B2457"/>
    <w:rsid w:val="446E2C7A"/>
    <w:rsid w:val="44C4575F"/>
    <w:rsid w:val="45203651"/>
    <w:rsid w:val="45304D32"/>
    <w:rsid w:val="45BE3140"/>
    <w:rsid w:val="4600602D"/>
    <w:rsid w:val="46117980"/>
    <w:rsid w:val="46605FDB"/>
    <w:rsid w:val="46932657"/>
    <w:rsid w:val="469A51CD"/>
    <w:rsid w:val="46A9761A"/>
    <w:rsid w:val="46B51929"/>
    <w:rsid w:val="46D42F41"/>
    <w:rsid w:val="46E95465"/>
    <w:rsid w:val="46F076C8"/>
    <w:rsid w:val="47003825"/>
    <w:rsid w:val="470B4D63"/>
    <w:rsid w:val="47132692"/>
    <w:rsid w:val="472268C3"/>
    <w:rsid w:val="474544FA"/>
    <w:rsid w:val="4756174C"/>
    <w:rsid w:val="476C39E0"/>
    <w:rsid w:val="476F0BC1"/>
    <w:rsid w:val="47721C60"/>
    <w:rsid w:val="477670F8"/>
    <w:rsid w:val="478A6A0E"/>
    <w:rsid w:val="47D522B3"/>
    <w:rsid w:val="485446B7"/>
    <w:rsid w:val="486003BD"/>
    <w:rsid w:val="487C24DC"/>
    <w:rsid w:val="48AA5070"/>
    <w:rsid w:val="48C36277"/>
    <w:rsid w:val="48C749F6"/>
    <w:rsid w:val="48C920F7"/>
    <w:rsid w:val="48DA3C08"/>
    <w:rsid w:val="48ED7C88"/>
    <w:rsid w:val="490159B8"/>
    <w:rsid w:val="49300BA2"/>
    <w:rsid w:val="49853BB3"/>
    <w:rsid w:val="49C50B85"/>
    <w:rsid w:val="49C74B27"/>
    <w:rsid w:val="4A22105C"/>
    <w:rsid w:val="4A805DA1"/>
    <w:rsid w:val="4AC43C05"/>
    <w:rsid w:val="4AD04A4B"/>
    <w:rsid w:val="4AD77C59"/>
    <w:rsid w:val="4AE2745A"/>
    <w:rsid w:val="4B924B09"/>
    <w:rsid w:val="4BE27DA6"/>
    <w:rsid w:val="4BE46C92"/>
    <w:rsid w:val="4C00513D"/>
    <w:rsid w:val="4C1A3EB2"/>
    <w:rsid w:val="4C2A43ED"/>
    <w:rsid w:val="4C3E351C"/>
    <w:rsid w:val="4C5A3B0E"/>
    <w:rsid w:val="4C766400"/>
    <w:rsid w:val="4C936219"/>
    <w:rsid w:val="4C966C54"/>
    <w:rsid w:val="4CA56891"/>
    <w:rsid w:val="4CFF3591"/>
    <w:rsid w:val="4D7E6C33"/>
    <w:rsid w:val="4D9F6BA6"/>
    <w:rsid w:val="4DB57922"/>
    <w:rsid w:val="4DC20621"/>
    <w:rsid w:val="4E317EFE"/>
    <w:rsid w:val="4E506F8B"/>
    <w:rsid w:val="4E606D67"/>
    <w:rsid w:val="4E9B2C65"/>
    <w:rsid w:val="4ECE7859"/>
    <w:rsid w:val="4EF30992"/>
    <w:rsid w:val="4F110F27"/>
    <w:rsid w:val="4F837171"/>
    <w:rsid w:val="4FAE10C6"/>
    <w:rsid w:val="4FB10D0E"/>
    <w:rsid w:val="4FB56683"/>
    <w:rsid w:val="4FD24755"/>
    <w:rsid w:val="4FDF2F1A"/>
    <w:rsid w:val="501B19FC"/>
    <w:rsid w:val="50221084"/>
    <w:rsid w:val="50252009"/>
    <w:rsid w:val="50782766"/>
    <w:rsid w:val="50863905"/>
    <w:rsid w:val="5092043F"/>
    <w:rsid w:val="5097436D"/>
    <w:rsid w:val="509F043F"/>
    <w:rsid w:val="50F702B7"/>
    <w:rsid w:val="5104225A"/>
    <w:rsid w:val="512579AE"/>
    <w:rsid w:val="513F3DDB"/>
    <w:rsid w:val="51594984"/>
    <w:rsid w:val="51742FB0"/>
    <w:rsid w:val="5197226B"/>
    <w:rsid w:val="51BB4949"/>
    <w:rsid w:val="51C970F0"/>
    <w:rsid w:val="52524B9C"/>
    <w:rsid w:val="525B6C6E"/>
    <w:rsid w:val="52794008"/>
    <w:rsid w:val="52B20439"/>
    <w:rsid w:val="52E606E1"/>
    <w:rsid w:val="52EF06AA"/>
    <w:rsid w:val="530A08A8"/>
    <w:rsid w:val="530C784E"/>
    <w:rsid w:val="532C5B84"/>
    <w:rsid w:val="53362C11"/>
    <w:rsid w:val="534B2BB6"/>
    <w:rsid w:val="53662D42"/>
    <w:rsid w:val="536B5669"/>
    <w:rsid w:val="53FA15B9"/>
    <w:rsid w:val="541447FD"/>
    <w:rsid w:val="54846E05"/>
    <w:rsid w:val="54DF2FCC"/>
    <w:rsid w:val="555867B4"/>
    <w:rsid w:val="55BE657B"/>
    <w:rsid w:val="55EE74DD"/>
    <w:rsid w:val="56006927"/>
    <w:rsid w:val="56832A2C"/>
    <w:rsid w:val="56F12518"/>
    <w:rsid w:val="56F271B4"/>
    <w:rsid w:val="57194E75"/>
    <w:rsid w:val="571A424F"/>
    <w:rsid w:val="572D169B"/>
    <w:rsid w:val="574C408D"/>
    <w:rsid w:val="578135A0"/>
    <w:rsid w:val="57AD4064"/>
    <w:rsid w:val="57CB0C71"/>
    <w:rsid w:val="57D252C9"/>
    <w:rsid w:val="57EC2C4F"/>
    <w:rsid w:val="57ED611E"/>
    <w:rsid w:val="580C7901"/>
    <w:rsid w:val="58230FEF"/>
    <w:rsid w:val="5844532A"/>
    <w:rsid w:val="58474908"/>
    <w:rsid w:val="58490843"/>
    <w:rsid w:val="58DE52D4"/>
    <w:rsid w:val="58E24461"/>
    <w:rsid w:val="58E540E3"/>
    <w:rsid w:val="590805C3"/>
    <w:rsid w:val="590E5F11"/>
    <w:rsid w:val="594C608F"/>
    <w:rsid w:val="596646BA"/>
    <w:rsid w:val="59A03501"/>
    <w:rsid w:val="59D601F1"/>
    <w:rsid w:val="59EB0A42"/>
    <w:rsid w:val="59ED7E16"/>
    <w:rsid w:val="59FB712C"/>
    <w:rsid w:val="5A1E0025"/>
    <w:rsid w:val="5A1E2BB2"/>
    <w:rsid w:val="5A376F91"/>
    <w:rsid w:val="5A4C25DD"/>
    <w:rsid w:val="5A8E3209"/>
    <w:rsid w:val="5A9A7AA6"/>
    <w:rsid w:val="5AC94301"/>
    <w:rsid w:val="5ACB58C1"/>
    <w:rsid w:val="5ADF64A5"/>
    <w:rsid w:val="5B355BAF"/>
    <w:rsid w:val="5B857733"/>
    <w:rsid w:val="5BAB48F4"/>
    <w:rsid w:val="5BE80ED6"/>
    <w:rsid w:val="5BF65C6D"/>
    <w:rsid w:val="5C166C5F"/>
    <w:rsid w:val="5C224ACF"/>
    <w:rsid w:val="5C2615D3"/>
    <w:rsid w:val="5C4C447D"/>
    <w:rsid w:val="5C623011"/>
    <w:rsid w:val="5C90365B"/>
    <w:rsid w:val="5CAB1848"/>
    <w:rsid w:val="5CC608C4"/>
    <w:rsid w:val="5CD5555B"/>
    <w:rsid w:val="5CED4F00"/>
    <w:rsid w:val="5CF6412D"/>
    <w:rsid w:val="5D095D7E"/>
    <w:rsid w:val="5D273DE0"/>
    <w:rsid w:val="5DA1107A"/>
    <w:rsid w:val="5DA34A2F"/>
    <w:rsid w:val="5DD07B30"/>
    <w:rsid w:val="5DDC260A"/>
    <w:rsid w:val="5E30601B"/>
    <w:rsid w:val="5EA25976"/>
    <w:rsid w:val="5EB26C8C"/>
    <w:rsid w:val="5EED5CCB"/>
    <w:rsid w:val="5F1B7229"/>
    <w:rsid w:val="5F4A5E50"/>
    <w:rsid w:val="5F75272C"/>
    <w:rsid w:val="5F776C23"/>
    <w:rsid w:val="5F7D1D36"/>
    <w:rsid w:val="5F943020"/>
    <w:rsid w:val="5F9525DC"/>
    <w:rsid w:val="5F994E96"/>
    <w:rsid w:val="5F9968B6"/>
    <w:rsid w:val="5FC013C7"/>
    <w:rsid w:val="6056529D"/>
    <w:rsid w:val="609559CF"/>
    <w:rsid w:val="60B35636"/>
    <w:rsid w:val="60C93F57"/>
    <w:rsid w:val="60E35ED7"/>
    <w:rsid w:val="610E2011"/>
    <w:rsid w:val="614157BA"/>
    <w:rsid w:val="61564E40"/>
    <w:rsid w:val="61782DF6"/>
    <w:rsid w:val="6198112C"/>
    <w:rsid w:val="61B134E0"/>
    <w:rsid w:val="61C26344"/>
    <w:rsid w:val="61E24A24"/>
    <w:rsid w:val="61EC7466"/>
    <w:rsid w:val="61F04193"/>
    <w:rsid w:val="62617684"/>
    <w:rsid w:val="626671FB"/>
    <w:rsid w:val="62AA7CF0"/>
    <w:rsid w:val="62AD53F1"/>
    <w:rsid w:val="62EC257B"/>
    <w:rsid w:val="63050B66"/>
    <w:rsid w:val="634E2A14"/>
    <w:rsid w:val="63616199"/>
    <w:rsid w:val="639B01E7"/>
    <w:rsid w:val="63B4491F"/>
    <w:rsid w:val="63D84EDF"/>
    <w:rsid w:val="640D130E"/>
    <w:rsid w:val="64140656"/>
    <w:rsid w:val="641F759A"/>
    <w:rsid w:val="642F5356"/>
    <w:rsid w:val="64461B7A"/>
    <w:rsid w:val="645038A3"/>
    <w:rsid w:val="64600E56"/>
    <w:rsid w:val="64785961"/>
    <w:rsid w:val="64B922A8"/>
    <w:rsid w:val="64D06C9A"/>
    <w:rsid w:val="64DB0ACB"/>
    <w:rsid w:val="64E156DB"/>
    <w:rsid w:val="6524387C"/>
    <w:rsid w:val="65652252"/>
    <w:rsid w:val="658A22DC"/>
    <w:rsid w:val="65B573B4"/>
    <w:rsid w:val="65B975F2"/>
    <w:rsid w:val="65E66A6C"/>
    <w:rsid w:val="65EB089E"/>
    <w:rsid w:val="65FA5E5E"/>
    <w:rsid w:val="66421D02"/>
    <w:rsid w:val="664C23E4"/>
    <w:rsid w:val="66702062"/>
    <w:rsid w:val="669D0EEA"/>
    <w:rsid w:val="66F175EE"/>
    <w:rsid w:val="67026690"/>
    <w:rsid w:val="67367DE4"/>
    <w:rsid w:val="673E73EE"/>
    <w:rsid w:val="67735095"/>
    <w:rsid w:val="67D14B42"/>
    <w:rsid w:val="682B1310"/>
    <w:rsid w:val="683B3E0E"/>
    <w:rsid w:val="683C70D3"/>
    <w:rsid w:val="687A7176"/>
    <w:rsid w:val="688457B5"/>
    <w:rsid w:val="689841A8"/>
    <w:rsid w:val="68AF1BCF"/>
    <w:rsid w:val="68C11AE9"/>
    <w:rsid w:val="68C84CF7"/>
    <w:rsid w:val="68D84F91"/>
    <w:rsid w:val="68EF02D7"/>
    <w:rsid w:val="693365A4"/>
    <w:rsid w:val="69366334"/>
    <w:rsid w:val="69964EE3"/>
    <w:rsid w:val="69A70AE2"/>
    <w:rsid w:val="69D87DF0"/>
    <w:rsid w:val="69D9096F"/>
    <w:rsid w:val="69F3315F"/>
    <w:rsid w:val="69FD54F6"/>
    <w:rsid w:val="6A033D0D"/>
    <w:rsid w:val="6A2E7AC1"/>
    <w:rsid w:val="6A36797E"/>
    <w:rsid w:val="6A472BE9"/>
    <w:rsid w:val="6A652199"/>
    <w:rsid w:val="6A6636A0"/>
    <w:rsid w:val="6A7A213F"/>
    <w:rsid w:val="6A7F0894"/>
    <w:rsid w:val="6AC565DD"/>
    <w:rsid w:val="6ACF51F2"/>
    <w:rsid w:val="6AE40C07"/>
    <w:rsid w:val="6AED3F98"/>
    <w:rsid w:val="6B096824"/>
    <w:rsid w:val="6B0D62A9"/>
    <w:rsid w:val="6B1B7AFE"/>
    <w:rsid w:val="6B1F0569"/>
    <w:rsid w:val="6B62463B"/>
    <w:rsid w:val="6B6E2373"/>
    <w:rsid w:val="6BA32EA6"/>
    <w:rsid w:val="6BEF1CA0"/>
    <w:rsid w:val="6BF10A27"/>
    <w:rsid w:val="6C340216"/>
    <w:rsid w:val="6C411AAB"/>
    <w:rsid w:val="6C423CA9"/>
    <w:rsid w:val="6CA7568C"/>
    <w:rsid w:val="6CB7545A"/>
    <w:rsid w:val="6CDE634F"/>
    <w:rsid w:val="6CE77CBA"/>
    <w:rsid w:val="6D0A36F2"/>
    <w:rsid w:val="6D183E84"/>
    <w:rsid w:val="6D357DB9"/>
    <w:rsid w:val="6D3607E9"/>
    <w:rsid w:val="6D831CA7"/>
    <w:rsid w:val="6DC75B12"/>
    <w:rsid w:val="6DF05CB3"/>
    <w:rsid w:val="6DF87AF7"/>
    <w:rsid w:val="6E59268C"/>
    <w:rsid w:val="6EAB0615"/>
    <w:rsid w:val="6EAB4BC0"/>
    <w:rsid w:val="6EE3139A"/>
    <w:rsid w:val="6F337AFB"/>
    <w:rsid w:val="6F5E6145"/>
    <w:rsid w:val="6FD10B09"/>
    <w:rsid w:val="6FE32CCD"/>
    <w:rsid w:val="70020F1E"/>
    <w:rsid w:val="70042156"/>
    <w:rsid w:val="70115BE8"/>
    <w:rsid w:val="705F3A0B"/>
    <w:rsid w:val="708B1027"/>
    <w:rsid w:val="70B950FC"/>
    <w:rsid w:val="70C56BAD"/>
    <w:rsid w:val="70E82F4F"/>
    <w:rsid w:val="71326F71"/>
    <w:rsid w:val="713A4957"/>
    <w:rsid w:val="717E45F4"/>
    <w:rsid w:val="718314E0"/>
    <w:rsid w:val="718C2CF8"/>
    <w:rsid w:val="723423EA"/>
    <w:rsid w:val="7296248F"/>
    <w:rsid w:val="729970E6"/>
    <w:rsid w:val="729C4398"/>
    <w:rsid w:val="72B80445"/>
    <w:rsid w:val="72DE78AF"/>
    <w:rsid w:val="733646AB"/>
    <w:rsid w:val="734C6170"/>
    <w:rsid w:val="736823FC"/>
    <w:rsid w:val="73A50428"/>
    <w:rsid w:val="73A541AE"/>
    <w:rsid w:val="73F61B56"/>
    <w:rsid w:val="744D04DB"/>
    <w:rsid w:val="74CB5B16"/>
    <w:rsid w:val="74CC466D"/>
    <w:rsid w:val="74DF545B"/>
    <w:rsid w:val="7507318D"/>
    <w:rsid w:val="750B6F28"/>
    <w:rsid w:val="75144836"/>
    <w:rsid w:val="754D5FB4"/>
    <w:rsid w:val="75581C92"/>
    <w:rsid w:val="75692AA3"/>
    <w:rsid w:val="757E0D44"/>
    <w:rsid w:val="75B066A8"/>
    <w:rsid w:val="75D23B5A"/>
    <w:rsid w:val="75F41B11"/>
    <w:rsid w:val="76016C28"/>
    <w:rsid w:val="76362BFE"/>
    <w:rsid w:val="76551CF4"/>
    <w:rsid w:val="76586BBD"/>
    <w:rsid w:val="76926517"/>
    <w:rsid w:val="76AE695A"/>
    <w:rsid w:val="77013274"/>
    <w:rsid w:val="77A640A0"/>
    <w:rsid w:val="77C16C09"/>
    <w:rsid w:val="77DE3081"/>
    <w:rsid w:val="77EC5A11"/>
    <w:rsid w:val="77EE6E13"/>
    <w:rsid w:val="784E1CF0"/>
    <w:rsid w:val="786450E1"/>
    <w:rsid w:val="786C1E5A"/>
    <w:rsid w:val="78941AEE"/>
    <w:rsid w:val="78954D0B"/>
    <w:rsid w:val="78B16511"/>
    <w:rsid w:val="78B6798E"/>
    <w:rsid w:val="78D131C3"/>
    <w:rsid w:val="78FA5432"/>
    <w:rsid w:val="790B20A3"/>
    <w:rsid w:val="791E10C4"/>
    <w:rsid w:val="7922554C"/>
    <w:rsid w:val="793A1628"/>
    <w:rsid w:val="79587FA4"/>
    <w:rsid w:val="79772A57"/>
    <w:rsid w:val="797D10DD"/>
    <w:rsid w:val="79971BCB"/>
    <w:rsid w:val="79A424B3"/>
    <w:rsid w:val="79CD1349"/>
    <w:rsid w:val="7A086AC3"/>
    <w:rsid w:val="7A2405F1"/>
    <w:rsid w:val="7A3A0597"/>
    <w:rsid w:val="7A6477C1"/>
    <w:rsid w:val="7AB13DDC"/>
    <w:rsid w:val="7ADE32A3"/>
    <w:rsid w:val="7AF60C51"/>
    <w:rsid w:val="7B2B7B1F"/>
    <w:rsid w:val="7B533186"/>
    <w:rsid w:val="7B921A68"/>
    <w:rsid w:val="7BD4495C"/>
    <w:rsid w:val="7C0A4F8F"/>
    <w:rsid w:val="7C194F50"/>
    <w:rsid w:val="7C1D61AE"/>
    <w:rsid w:val="7C2F774D"/>
    <w:rsid w:val="7C3A3560"/>
    <w:rsid w:val="7C407B13"/>
    <w:rsid w:val="7C476FF2"/>
    <w:rsid w:val="7C675328"/>
    <w:rsid w:val="7C694FA8"/>
    <w:rsid w:val="7C6D39AE"/>
    <w:rsid w:val="7C800451"/>
    <w:rsid w:val="7C884AD2"/>
    <w:rsid w:val="7CF34F0C"/>
    <w:rsid w:val="7D225A5C"/>
    <w:rsid w:val="7D4B339D"/>
    <w:rsid w:val="7D8E2B8C"/>
    <w:rsid w:val="7DA911B8"/>
    <w:rsid w:val="7E0F43DF"/>
    <w:rsid w:val="7E1C5C73"/>
    <w:rsid w:val="7E223400"/>
    <w:rsid w:val="7E3F712D"/>
    <w:rsid w:val="7E401D46"/>
    <w:rsid w:val="7E4029B0"/>
    <w:rsid w:val="7E5A5758"/>
    <w:rsid w:val="7E926F37"/>
    <w:rsid w:val="7EB96DF7"/>
    <w:rsid w:val="7ED96AB2"/>
    <w:rsid w:val="7EDC282E"/>
    <w:rsid w:val="7EF32454"/>
    <w:rsid w:val="7EFA1850"/>
    <w:rsid w:val="7EFD07E5"/>
    <w:rsid w:val="7F182208"/>
    <w:rsid w:val="7F1F139A"/>
    <w:rsid w:val="7F59567B"/>
    <w:rsid w:val="7F6F1E5B"/>
    <w:rsid w:val="7F8F1570"/>
    <w:rsid w:val="7FB73496"/>
    <w:rsid w:val="7FEE556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qFormat="1" w:uiPriority="99"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7">
    <w:name w:val="heading 1"/>
    <w:basedOn w:val="1"/>
    <w:next w:val="1"/>
    <w:qFormat/>
    <w:uiPriority w:val="0"/>
    <w:pPr>
      <w:keepNext/>
      <w:jc w:val="center"/>
      <w:outlineLvl w:val="0"/>
    </w:pPr>
    <w:rPr>
      <w:rFonts w:ascii="楷体_GB2312" w:eastAsia="楷体_GB2312"/>
      <w:sz w:val="28"/>
    </w:rPr>
  </w:style>
  <w:style w:type="paragraph" w:styleId="8">
    <w:name w:val="heading 2"/>
    <w:basedOn w:val="1"/>
    <w:next w:val="1"/>
    <w:link w:val="165"/>
    <w:qFormat/>
    <w:uiPriority w:val="0"/>
    <w:pPr>
      <w:keepNext/>
      <w:keepLines/>
      <w:spacing w:before="260" w:beforeLines="0" w:after="260" w:afterLines="0" w:line="416" w:lineRule="auto"/>
      <w:outlineLvl w:val="1"/>
    </w:pPr>
    <w:rPr>
      <w:rFonts w:ascii="Arial" w:hAnsi="Arial" w:eastAsia="黑体"/>
      <w:b/>
      <w:bCs/>
      <w:sz w:val="32"/>
      <w:szCs w:val="32"/>
    </w:rPr>
  </w:style>
  <w:style w:type="paragraph" w:styleId="9">
    <w:name w:val="heading 3"/>
    <w:basedOn w:val="1"/>
    <w:next w:val="1"/>
    <w:link w:val="163"/>
    <w:qFormat/>
    <w:uiPriority w:val="0"/>
    <w:pPr>
      <w:keepNext/>
      <w:keepLines/>
      <w:spacing w:before="260" w:beforeLines="0" w:after="260" w:afterLines="0" w:line="413" w:lineRule="auto"/>
      <w:outlineLvl w:val="2"/>
    </w:pPr>
    <w:rPr>
      <w:b/>
      <w:bCs/>
      <w:sz w:val="32"/>
      <w:szCs w:val="32"/>
    </w:rPr>
  </w:style>
  <w:style w:type="paragraph" w:styleId="10">
    <w:name w:val="heading 4"/>
    <w:basedOn w:val="1"/>
    <w:next w:val="11"/>
    <w:qFormat/>
    <w:uiPriority w:val="0"/>
    <w:pPr>
      <w:keepNext/>
      <w:keepLines/>
      <w:adjustRightInd w:val="0"/>
      <w:snapToGrid w:val="0"/>
      <w:spacing w:line="360" w:lineRule="auto"/>
      <w:ind w:left="864" w:hanging="864"/>
      <w:outlineLvl w:val="3"/>
    </w:pPr>
    <w:rPr>
      <w:bCs/>
      <w:sz w:val="24"/>
      <w:szCs w:val="28"/>
    </w:rPr>
  </w:style>
  <w:style w:type="paragraph" w:styleId="13">
    <w:name w:val="heading 5"/>
    <w:basedOn w:val="1"/>
    <w:next w:val="11"/>
    <w:qFormat/>
    <w:uiPriority w:val="0"/>
    <w:pPr>
      <w:keepNext/>
      <w:keepLines/>
      <w:spacing w:before="120" w:line="360" w:lineRule="auto"/>
      <w:ind w:left="1008" w:hanging="1008"/>
      <w:outlineLvl w:val="4"/>
    </w:pPr>
    <w:rPr>
      <w:bCs/>
      <w:sz w:val="24"/>
      <w:szCs w:val="28"/>
    </w:rPr>
  </w:style>
  <w:style w:type="paragraph" w:styleId="14">
    <w:name w:val="heading 6"/>
    <w:basedOn w:val="1"/>
    <w:next w:val="1"/>
    <w:qFormat/>
    <w:uiPriority w:val="0"/>
    <w:pPr>
      <w:keepNext/>
      <w:keepLines/>
      <w:spacing w:before="240" w:after="64" w:line="320" w:lineRule="auto"/>
      <w:ind w:left="1152" w:hanging="1152"/>
      <w:outlineLvl w:val="5"/>
    </w:pPr>
    <w:rPr>
      <w:rFonts w:ascii="Cambria" w:hAnsi="Cambria"/>
      <w:b/>
      <w:bCs/>
      <w:sz w:val="24"/>
      <w:szCs w:val="24"/>
    </w:rPr>
  </w:style>
  <w:style w:type="paragraph" w:styleId="15">
    <w:name w:val="heading 7"/>
    <w:basedOn w:val="1"/>
    <w:next w:val="1"/>
    <w:qFormat/>
    <w:uiPriority w:val="0"/>
    <w:pPr>
      <w:keepNext/>
      <w:keepLines/>
      <w:spacing w:before="240" w:after="64" w:line="320" w:lineRule="auto"/>
      <w:ind w:left="1296" w:hanging="1296"/>
      <w:outlineLvl w:val="6"/>
    </w:pPr>
    <w:rPr>
      <w:b/>
      <w:bCs/>
      <w:sz w:val="24"/>
      <w:szCs w:val="24"/>
    </w:rPr>
  </w:style>
  <w:style w:type="paragraph" w:styleId="16">
    <w:name w:val="heading 8"/>
    <w:basedOn w:val="1"/>
    <w:next w:val="1"/>
    <w:qFormat/>
    <w:uiPriority w:val="0"/>
    <w:pPr>
      <w:keepNext/>
      <w:keepLines/>
      <w:spacing w:before="240" w:after="64" w:line="320" w:lineRule="auto"/>
      <w:ind w:left="1440" w:hanging="1440"/>
      <w:outlineLvl w:val="7"/>
    </w:pPr>
    <w:rPr>
      <w:rFonts w:ascii="Cambria" w:hAnsi="Cambria"/>
      <w:sz w:val="24"/>
      <w:szCs w:val="24"/>
    </w:rPr>
  </w:style>
  <w:style w:type="paragraph" w:styleId="17">
    <w:name w:val="heading 9"/>
    <w:basedOn w:val="1"/>
    <w:next w:val="1"/>
    <w:qFormat/>
    <w:uiPriority w:val="0"/>
    <w:pPr>
      <w:keepNext/>
      <w:keepLines/>
      <w:spacing w:before="240" w:after="64" w:line="320" w:lineRule="auto"/>
      <w:ind w:left="1584" w:hanging="1584"/>
      <w:outlineLvl w:val="8"/>
    </w:pPr>
    <w:rPr>
      <w:rFonts w:ascii="Cambria" w:hAnsi="Cambria"/>
      <w:sz w:val="20"/>
    </w:rPr>
  </w:style>
  <w:style w:type="character" w:default="1" w:styleId="39">
    <w:name w:val="Default Paragraph Font"/>
    <w:qFormat/>
    <w:uiPriority w:val="0"/>
  </w:style>
  <w:style w:type="table" w:default="1" w:styleId="37">
    <w:name w:val="Normal Table"/>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widowControl w:val="0"/>
      <w:adjustRightInd w:val="0"/>
      <w:spacing w:after="120" w:line="312" w:lineRule="atLeast"/>
      <w:ind w:left="420" w:firstLine="210"/>
      <w:jc w:val="both"/>
      <w:textAlignment w:val="baseline"/>
    </w:pPr>
    <w:rPr>
      <w:kern w:val="2"/>
    </w:rPr>
  </w:style>
  <w:style w:type="paragraph" w:styleId="3">
    <w:name w:val="Body Text Indent"/>
    <w:basedOn w:val="1"/>
    <w:next w:val="4"/>
    <w:qFormat/>
    <w:uiPriority w:val="0"/>
    <w:pPr>
      <w:spacing w:after="120" w:afterLines="0"/>
      <w:ind w:left="420" w:leftChars="200"/>
    </w:pPr>
    <w:rPr>
      <w:szCs w:val="24"/>
    </w:rPr>
  </w:style>
  <w:style w:type="paragraph" w:styleId="4">
    <w:name w:val="header"/>
    <w:basedOn w:val="1"/>
    <w:next w:val="5"/>
    <w:link w:val="174"/>
    <w:qFormat/>
    <w:uiPriority w:val="0"/>
    <w:pPr>
      <w:pBdr>
        <w:bottom w:val="single" w:color="auto" w:sz="6" w:space="1"/>
      </w:pBdr>
      <w:tabs>
        <w:tab w:val="center" w:pos="4153"/>
        <w:tab w:val="right" w:pos="8306"/>
      </w:tabs>
      <w:snapToGrid w:val="0"/>
      <w:jc w:val="center"/>
    </w:pPr>
    <w:rPr>
      <w:sz w:val="18"/>
      <w:szCs w:val="18"/>
    </w:rPr>
  </w:style>
  <w:style w:type="paragraph" w:customStyle="1" w:styleId="5">
    <w:name w:val="样式5"/>
    <w:basedOn w:val="6"/>
    <w:qFormat/>
    <w:uiPriority w:val="0"/>
    <w:pPr>
      <w:snapToGrid w:val="0"/>
      <w:spacing w:line="360" w:lineRule="auto"/>
      <w:ind w:firstLine="510"/>
    </w:pPr>
    <w:rPr>
      <w:color w:val="auto"/>
      <w:kern w:val="2"/>
      <w:szCs w:val="24"/>
    </w:rPr>
  </w:style>
  <w:style w:type="paragraph" w:customStyle="1" w:styleId="6">
    <w:name w:val="正文1"/>
    <w:basedOn w:val="1"/>
    <w:qFormat/>
    <w:uiPriority w:val="0"/>
    <w:pPr>
      <w:adjustRightInd w:val="0"/>
      <w:snapToGrid w:val="0"/>
      <w:spacing w:line="500" w:lineRule="atLeast"/>
      <w:ind w:firstLine="567"/>
    </w:pPr>
    <w:rPr>
      <w:sz w:val="28"/>
    </w:rPr>
  </w:style>
  <w:style w:type="paragraph" w:styleId="11">
    <w:name w:val="Body Text First Indent"/>
    <w:basedOn w:val="12"/>
    <w:link w:val="140"/>
    <w:qFormat/>
    <w:uiPriority w:val="99"/>
    <w:pPr>
      <w:ind w:firstLine="420" w:firstLineChars="100"/>
    </w:pPr>
  </w:style>
  <w:style w:type="paragraph" w:styleId="12">
    <w:name w:val="Body Text"/>
    <w:basedOn w:val="1"/>
    <w:link w:val="151"/>
    <w:qFormat/>
    <w:uiPriority w:val="0"/>
    <w:pPr>
      <w:spacing w:after="120" w:afterLines="0"/>
    </w:pPr>
  </w:style>
  <w:style w:type="paragraph" w:styleId="18">
    <w:name w:val="Note Heading"/>
    <w:basedOn w:val="1"/>
    <w:next w:val="1"/>
    <w:qFormat/>
    <w:uiPriority w:val="0"/>
    <w:pPr>
      <w:jc w:val="center"/>
    </w:pPr>
  </w:style>
  <w:style w:type="paragraph" w:styleId="19">
    <w:name w:val="Normal Indent"/>
    <w:basedOn w:val="1"/>
    <w:link w:val="173"/>
    <w:qFormat/>
    <w:uiPriority w:val="0"/>
    <w:pPr>
      <w:ind w:firstLine="420" w:firstLineChars="200"/>
    </w:pPr>
  </w:style>
  <w:style w:type="paragraph" w:styleId="20">
    <w:name w:val="caption"/>
    <w:basedOn w:val="1"/>
    <w:next w:val="1"/>
    <w:qFormat/>
    <w:uiPriority w:val="0"/>
    <w:pPr>
      <w:adjustRightInd w:val="0"/>
      <w:snapToGrid w:val="0"/>
      <w:jc w:val="center"/>
    </w:pPr>
    <w:rPr>
      <w:b/>
      <w:sz w:val="24"/>
    </w:rPr>
  </w:style>
  <w:style w:type="paragraph" w:styleId="21">
    <w:name w:val="Document Map"/>
    <w:basedOn w:val="1"/>
    <w:link w:val="153"/>
    <w:unhideWhenUsed/>
    <w:qFormat/>
    <w:uiPriority w:val="99"/>
    <w:rPr>
      <w:rFonts w:ascii="宋体"/>
      <w:sz w:val="18"/>
      <w:szCs w:val="18"/>
    </w:rPr>
  </w:style>
  <w:style w:type="paragraph" w:styleId="22">
    <w:name w:val="annotation text"/>
    <w:basedOn w:val="1"/>
    <w:qFormat/>
    <w:uiPriority w:val="0"/>
    <w:pPr>
      <w:jc w:val="left"/>
    </w:pPr>
  </w:style>
  <w:style w:type="paragraph" w:styleId="23">
    <w:name w:val="List 2"/>
    <w:basedOn w:val="1"/>
    <w:qFormat/>
    <w:uiPriority w:val="0"/>
    <w:pPr>
      <w:adjustRightInd w:val="0"/>
      <w:snapToGrid w:val="0"/>
      <w:spacing w:line="360" w:lineRule="auto"/>
      <w:ind w:left="100" w:leftChars="200" w:hanging="200" w:hangingChars="200"/>
    </w:pPr>
    <w:rPr>
      <w:rFonts w:ascii="宋体" w:hAnsi="宋体"/>
      <w:snapToGrid w:val="0"/>
      <w:kern w:val="0"/>
      <w:sz w:val="24"/>
      <w:szCs w:val="24"/>
    </w:rPr>
  </w:style>
  <w:style w:type="paragraph" w:styleId="24">
    <w:name w:val="Block Text"/>
    <w:basedOn w:val="1"/>
    <w:qFormat/>
    <w:uiPriority w:val="0"/>
    <w:pPr>
      <w:widowControl/>
      <w:spacing w:line="440" w:lineRule="exact"/>
      <w:ind w:left="113" w:right="113" w:firstLine="567"/>
    </w:pPr>
    <w:rPr>
      <w:rFonts w:ascii="仿宋_GB2312" w:eastAsia="仿宋_GB2312"/>
      <w:kern w:val="0"/>
      <w:sz w:val="28"/>
    </w:rPr>
  </w:style>
  <w:style w:type="paragraph" w:styleId="25">
    <w:name w:val="Plain Text"/>
    <w:basedOn w:val="1"/>
    <w:link w:val="161"/>
    <w:qFormat/>
    <w:uiPriority w:val="0"/>
    <w:rPr>
      <w:rFonts w:ascii="宋体" w:hAnsi="Courier New"/>
    </w:rPr>
  </w:style>
  <w:style w:type="paragraph" w:styleId="26">
    <w:name w:val="Date"/>
    <w:basedOn w:val="1"/>
    <w:next w:val="1"/>
    <w:qFormat/>
    <w:uiPriority w:val="0"/>
    <w:rPr>
      <w:sz w:val="28"/>
    </w:rPr>
  </w:style>
  <w:style w:type="paragraph" w:styleId="27">
    <w:name w:val="Body Text Indent 2"/>
    <w:basedOn w:val="1"/>
    <w:qFormat/>
    <w:uiPriority w:val="0"/>
    <w:pPr>
      <w:spacing w:after="120" w:afterLines="0" w:line="480" w:lineRule="auto"/>
      <w:ind w:left="420" w:leftChars="200"/>
    </w:pPr>
    <w:rPr>
      <w:szCs w:val="24"/>
    </w:rPr>
  </w:style>
  <w:style w:type="paragraph" w:styleId="28">
    <w:name w:val="Balloon Text"/>
    <w:basedOn w:val="1"/>
    <w:qFormat/>
    <w:uiPriority w:val="0"/>
    <w:rPr>
      <w:sz w:val="18"/>
      <w:szCs w:val="18"/>
    </w:rPr>
  </w:style>
  <w:style w:type="paragraph" w:styleId="29">
    <w:name w:val="footer"/>
    <w:basedOn w:val="1"/>
    <w:link w:val="157"/>
    <w:qFormat/>
    <w:uiPriority w:val="0"/>
    <w:pPr>
      <w:tabs>
        <w:tab w:val="center" w:pos="4153"/>
        <w:tab w:val="right" w:pos="8306"/>
      </w:tabs>
      <w:snapToGrid w:val="0"/>
      <w:jc w:val="left"/>
    </w:pPr>
    <w:rPr>
      <w:sz w:val="18"/>
      <w:szCs w:val="18"/>
    </w:rPr>
  </w:style>
  <w:style w:type="paragraph" w:styleId="30">
    <w:name w:val="toc 1"/>
    <w:basedOn w:val="1"/>
    <w:next w:val="1"/>
    <w:unhideWhenUsed/>
    <w:qFormat/>
    <w:uiPriority w:val="39"/>
    <w:pPr>
      <w:snapToGrid w:val="0"/>
      <w:spacing w:before="120" w:after="120" w:line="440" w:lineRule="exact"/>
      <w:jc w:val="left"/>
    </w:pPr>
    <w:rPr>
      <w:rFonts w:ascii="宋体" w:hAnsi="宋体"/>
      <w:bCs/>
      <w:caps/>
      <w:sz w:val="24"/>
      <w:szCs w:val="24"/>
    </w:rPr>
  </w:style>
  <w:style w:type="paragraph" w:styleId="31">
    <w:name w:val="Body Text Indent 3"/>
    <w:basedOn w:val="1"/>
    <w:link w:val="159"/>
    <w:qFormat/>
    <w:uiPriority w:val="0"/>
    <w:pPr>
      <w:spacing w:after="120" w:afterLines="0"/>
      <w:ind w:left="420" w:leftChars="200"/>
    </w:pPr>
    <w:rPr>
      <w:sz w:val="16"/>
      <w:szCs w:val="16"/>
    </w:rPr>
  </w:style>
  <w:style w:type="paragraph" w:styleId="32">
    <w:name w:val="Body Text 2"/>
    <w:basedOn w:val="1"/>
    <w:qFormat/>
    <w:uiPriority w:val="0"/>
    <w:pPr>
      <w:spacing w:line="360" w:lineRule="auto"/>
      <w:jc w:val="center"/>
    </w:pPr>
    <w:rPr>
      <w:b/>
      <w:bCs/>
      <w:kern w:val="10"/>
      <w:sz w:val="52"/>
    </w:rPr>
  </w:style>
  <w:style w:type="paragraph" w:styleId="33">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bCs/>
      <w:kern w:val="0"/>
      <w:sz w:val="20"/>
      <w:szCs w:val="20"/>
    </w:rPr>
  </w:style>
  <w:style w:type="paragraph" w:styleId="34">
    <w:name w:val="Normal (Web)"/>
    <w:basedOn w:val="1"/>
    <w:qFormat/>
    <w:uiPriority w:val="0"/>
    <w:pPr>
      <w:widowControl/>
      <w:spacing w:before="100" w:beforeLines="0" w:beforeAutospacing="1" w:after="100" w:afterLines="0" w:afterAutospacing="1"/>
      <w:jc w:val="left"/>
    </w:pPr>
    <w:rPr>
      <w:rFonts w:ascii="宋体" w:hAnsi="宋体"/>
      <w:kern w:val="0"/>
      <w:sz w:val="24"/>
      <w:szCs w:val="24"/>
    </w:rPr>
  </w:style>
  <w:style w:type="paragraph" w:styleId="35">
    <w:name w:val="Title"/>
    <w:basedOn w:val="1"/>
    <w:qFormat/>
    <w:uiPriority w:val="0"/>
    <w:pPr>
      <w:spacing w:before="240" w:after="60"/>
      <w:jc w:val="center"/>
      <w:outlineLvl w:val="0"/>
    </w:pPr>
    <w:rPr>
      <w:rFonts w:ascii="BankGothic Lt BT" w:hAnsi="BankGothic Lt BT"/>
      <w:b/>
      <w:bCs/>
      <w:sz w:val="32"/>
      <w:szCs w:val="32"/>
    </w:rPr>
  </w:style>
  <w:style w:type="paragraph" w:styleId="36">
    <w:name w:val="annotation subject"/>
    <w:basedOn w:val="22"/>
    <w:next w:val="22"/>
    <w:qFormat/>
    <w:uiPriority w:val="0"/>
    <w:rPr>
      <w:b/>
      <w:bCs/>
    </w:rPr>
  </w:style>
  <w:style w:type="table" w:styleId="38">
    <w:name w:val="Table Grid"/>
    <w:basedOn w:val="3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0">
    <w:name w:val="Strong"/>
    <w:qFormat/>
    <w:uiPriority w:val="0"/>
    <w:rPr>
      <w:b/>
      <w:bCs/>
    </w:rPr>
  </w:style>
  <w:style w:type="character" w:styleId="41">
    <w:name w:val="page number"/>
    <w:basedOn w:val="39"/>
    <w:qFormat/>
    <w:uiPriority w:val="0"/>
  </w:style>
  <w:style w:type="character" w:styleId="42">
    <w:name w:val="FollowedHyperlink"/>
    <w:qFormat/>
    <w:uiPriority w:val="99"/>
    <w:rPr>
      <w:color w:val="800080"/>
      <w:u w:val="single"/>
    </w:rPr>
  </w:style>
  <w:style w:type="character" w:styleId="43">
    <w:name w:val="Emphasis"/>
    <w:basedOn w:val="39"/>
    <w:qFormat/>
    <w:uiPriority w:val="20"/>
    <w:rPr>
      <w:i/>
    </w:rPr>
  </w:style>
  <w:style w:type="character" w:styleId="44">
    <w:name w:val="Hyperlink"/>
    <w:qFormat/>
    <w:uiPriority w:val="99"/>
    <w:rPr>
      <w:color w:val="0000FF"/>
      <w:u w:val="single"/>
    </w:rPr>
  </w:style>
  <w:style w:type="character" w:styleId="45">
    <w:name w:val="annotation reference"/>
    <w:qFormat/>
    <w:uiPriority w:val="0"/>
    <w:rPr>
      <w:sz w:val="21"/>
      <w:szCs w:val="21"/>
    </w:rPr>
  </w:style>
  <w:style w:type="paragraph" w:customStyle="1" w:styleId="46">
    <w:name w:val="表标题"/>
    <w:basedOn w:val="19"/>
    <w:qFormat/>
    <w:uiPriority w:val="0"/>
    <w:pPr>
      <w:adjustRightInd w:val="0"/>
      <w:snapToGrid w:val="0"/>
      <w:spacing w:before="60" w:beforeLines="0" w:after="60" w:afterLines="0" w:line="500" w:lineRule="exact"/>
      <w:ind w:firstLine="0" w:firstLineChars="0"/>
      <w:jc w:val="center"/>
    </w:pPr>
    <w:rPr>
      <w:b/>
      <w:bCs/>
      <w:sz w:val="24"/>
      <w:szCs w:val="18"/>
    </w:rPr>
  </w:style>
  <w:style w:type="paragraph" w:customStyle="1" w:styleId="47">
    <w:name w:val=" Char"/>
    <w:basedOn w:val="1"/>
    <w:qFormat/>
    <w:uiPriority w:val="0"/>
    <w:rPr>
      <w:sz w:val="24"/>
      <w:szCs w:val="24"/>
    </w:rPr>
  </w:style>
  <w:style w:type="paragraph" w:customStyle="1" w:styleId="48">
    <w:name w:val="Char Char Char Char Char Char"/>
    <w:basedOn w:val="1"/>
    <w:qFormat/>
    <w:uiPriority w:val="0"/>
    <w:rPr>
      <w:szCs w:val="21"/>
    </w:rPr>
  </w:style>
  <w:style w:type="paragraph" w:customStyle="1" w:styleId="49">
    <w:name w:val="封面正标题"/>
    <w:basedOn w:val="35"/>
    <w:qFormat/>
    <w:uiPriority w:val="0"/>
    <w:rPr>
      <w:rFonts w:ascii="Arial" w:hAnsi="Arial" w:cs="Arial"/>
      <w:sz w:val="72"/>
    </w:rPr>
  </w:style>
  <w:style w:type="paragraph" w:customStyle="1" w:styleId="50">
    <w:name w:val="样式 样式 (符号) 宋体 小四 行距: 1.5 倍行距 + (符号) Times New Roman 上标"/>
    <w:basedOn w:val="51"/>
    <w:qFormat/>
    <w:uiPriority w:val="0"/>
    <w:pPr>
      <w:spacing w:line="480" w:lineRule="exact"/>
      <w:ind w:firstLine="200"/>
    </w:pPr>
    <w:rPr>
      <w:rFonts w:hAnsi="Times New Roman"/>
    </w:rPr>
  </w:style>
  <w:style w:type="paragraph" w:customStyle="1" w:styleId="51">
    <w:name w:val="样式 (符号) 宋体 小四 行距: 1.5 倍行距"/>
    <w:basedOn w:val="1"/>
    <w:link w:val="156"/>
    <w:qFormat/>
    <w:uiPriority w:val="0"/>
    <w:pPr>
      <w:spacing w:line="360" w:lineRule="auto"/>
      <w:ind w:firstLine="480" w:firstLineChars="200"/>
    </w:pPr>
    <w:rPr>
      <w:rFonts w:hAnsi="宋体" w:cs="宋体"/>
      <w:sz w:val="24"/>
    </w:rPr>
  </w:style>
  <w:style w:type="paragraph" w:customStyle="1" w:styleId="52">
    <w:name w:val="分标题"/>
    <w:next w:val="1"/>
    <w:qFormat/>
    <w:uiPriority w:val="0"/>
    <w:rPr>
      <w:rFonts w:ascii="华文仿宋" w:hAnsi="宋体" w:eastAsia="华文仿宋" w:cs="Times New Roman"/>
      <w:sz w:val="24"/>
      <w:szCs w:val="22"/>
      <w:lang w:val="en-US" w:eastAsia="en-US" w:bidi="en-US"/>
    </w:rPr>
  </w:style>
  <w:style w:type="paragraph" w:customStyle="1" w:styleId="53">
    <w:name w:val="样式7"/>
    <w:basedOn w:val="1"/>
    <w:link w:val="152"/>
    <w:qFormat/>
    <w:uiPriority w:val="0"/>
    <w:pPr>
      <w:tabs>
        <w:tab w:val="left" w:pos="1021"/>
      </w:tabs>
      <w:spacing w:line="500" w:lineRule="exact"/>
      <w:ind w:firstLine="480" w:firstLineChars="200"/>
    </w:pPr>
    <w:rPr>
      <w:rFonts w:ascii="宋体" w:hAnsi="宋体"/>
      <w:sz w:val="24"/>
      <w:szCs w:val="24"/>
    </w:rPr>
  </w:style>
  <w:style w:type="paragraph" w:customStyle="1" w:styleId="54">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5">
    <w:name w:val="报告"/>
    <w:basedOn w:val="1"/>
    <w:link w:val="177"/>
    <w:qFormat/>
    <w:uiPriority w:val="0"/>
    <w:pPr>
      <w:adjustRightInd w:val="0"/>
      <w:spacing w:line="360" w:lineRule="auto"/>
      <w:ind w:firstLine="505"/>
      <w:jc w:val="left"/>
      <w:textAlignment w:val="baseline"/>
    </w:pPr>
    <w:rPr>
      <w:sz w:val="24"/>
    </w:rPr>
  </w:style>
  <w:style w:type="paragraph" w:customStyle="1" w:styleId="56">
    <w:name w:val="报告表 段"/>
    <w:basedOn w:val="1"/>
    <w:link w:val="176"/>
    <w:qFormat/>
    <w:uiPriority w:val="0"/>
    <w:pPr>
      <w:spacing w:line="360" w:lineRule="auto"/>
      <w:ind w:firstLine="470" w:firstLineChars="196"/>
    </w:pPr>
    <w:rPr>
      <w:rFonts w:ascii="宋体" w:hAnsi="宋体"/>
      <w:bCs/>
      <w:sz w:val="24"/>
      <w:szCs w:val="24"/>
    </w:rPr>
  </w:style>
  <w:style w:type="paragraph" w:customStyle="1" w:styleId="57">
    <w:name w:val="正文缩近"/>
    <w:basedOn w:val="1"/>
    <w:qFormat/>
    <w:uiPriority w:val="0"/>
    <w:pPr>
      <w:spacing w:line="360" w:lineRule="auto"/>
      <w:ind w:firstLine="560" w:firstLineChars="200"/>
    </w:pPr>
    <w:rPr>
      <w:sz w:val="28"/>
      <w:szCs w:val="28"/>
    </w:rPr>
  </w:style>
  <w:style w:type="paragraph" w:customStyle="1" w:styleId="58">
    <w:name w:val="p15"/>
    <w:basedOn w:val="1"/>
    <w:qFormat/>
    <w:uiPriority w:val="0"/>
    <w:pPr>
      <w:widowControl/>
      <w:spacing w:before="120" w:beforeLines="0" w:after="120" w:afterLines="0"/>
      <w:ind w:firstLine="480"/>
      <w:jc w:val="center"/>
    </w:pPr>
    <w:rPr>
      <w:rFonts w:ascii="宋体" w:hAnsi="宋体" w:cs="宋体"/>
      <w:b/>
      <w:bCs/>
      <w:caps/>
      <w:kern w:val="0"/>
      <w:sz w:val="24"/>
      <w:szCs w:val="24"/>
    </w:rPr>
  </w:style>
  <w:style w:type="paragraph" w:customStyle="1" w:styleId="59">
    <w:name w:val="p17"/>
    <w:basedOn w:val="1"/>
    <w:qFormat/>
    <w:uiPriority w:val="0"/>
    <w:pPr>
      <w:widowControl/>
      <w:ind w:firstLine="540"/>
    </w:pPr>
    <w:rPr>
      <w:rFonts w:ascii="宋体" w:hAnsi="宋体" w:cs="宋体"/>
      <w:kern w:val="0"/>
      <w:sz w:val="28"/>
      <w:szCs w:val="28"/>
    </w:rPr>
  </w:style>
  <w:style w:type="paragraph" w:customStyle="1" w:styleId="60">
    <w:name w:val="表头"/>
    <w:basedOn w:val="25"/>
    <w:link w:val="139"/>
    <w:qFormat/>
    <w:uiPriority w:val="0"/>
    <w:pPr>
      <w:spacing w:before="156" w:beforeLines="50"/>
      <w:jc w:val="center"/>
      <w:outlineLvl w:val="3"/>
    </w:pPr>
    <w:rPr>
      <w:rFonts w:ascii="Times New Roman" w:hAnsi="Times New Roman" w:eastAsia="黑体"/>
      <w:kern w:val="0"/>
      <w:sz w:val="24"/>
    </w:rPr>
  </w:style>
  <w:style w:type="paragraph" w:customStyle="1" w:styleId="61">
    <w:name w:val="样式 小四 黑色 行距: 固定值 26 磅"/>
    <w:basedOn w:val="1"/>
    <w:link w:val="178"/>
    <w:qFormat/>
    <w:uiPriority w:val="0"/>
    <w:pPr>
      <w:spacing w:line="520" w:lineRule="exact"/>
      <w:ind w:firstLine="504" w:firstLineChars="200"/>
    </w:pPr>
    <w:rPr>
      <w:rFonts w:cs="宋体"/>
      <w:color w:val="000000"/>
      <w:spacing w:val="6"/>
      <w:sz w:val="24"/>
    </w:rPr>
  </w:style>
  <w:style w:type="paragraph" w:customStyle="1" w:styleId="62">
    <w:name w:val="bodytex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63">
    <w:name w:val="样式1"/>
    <w:basedOn w:val="7"/>
    <w:link w:val="138"/>
    <w:qFormat/>
    <w:uiPriority w:val="0"/>
    <w:pPr>
      <w:jc w:val="left"/>
    </w:pPr>
    <w:rPr>
      <w:rFonts w:ascii="宋体" w:hAnsi="宋体" w:eastAsia="宋体"/>
      <w:b/>
      <w:bCs/>
    </w:rPr>
  </w:style>
  <w:style w:type="paragraph" w:customStyle="1" w:styleId="64">
    <w:name w:val="样式 行距: 最小值 30 磅"/>
    <w:basedOn w:val="1"/>
    <w:qFormat/>
    <w:uiPriority w:val="0"/>
    <w:pPr>
      <w:adjustRightInd w:val="0"/>
      <w:spacing w:line="360" w:lineRule="auto"/>
    </w:pPr>
    <w:rPr>
      <w:rFonts w:ascii="宋体" w:cs="宋体"/>
      <w:kern w:val="0"/>
      <w:sz w:val="28"/>
    </w:rPr>
  </w:style>
  <w:style w:type="paragraph" w:customStyle="1" w:styleId="65">
    <w:name w:val="样式 方正仿宋_GBK 三号 加粗 黑色 居中 行距: 固定值 26 磅"/>
    <w:basedOn w:val="1"/>
    <w:qFormat/>
    <w:uiPriority w:val="0"/>
    <w:pPr>
      <w:adjustRightInd w:val="0"/>
      <w:snapToGrid w:val="0"/>
      <w:spacing w:line="480" w:lineRule="exact"/>
      <w:jc w:val="center"/>
    </w:pPr>
    <w:rPr>
      <w:rFonts w:ascii="宋体" w:hAnsi="宋体"/>
      <w:b/>
      <w:bCs/>
      <w:sz w:val="24"/>
      <w:szCs w:val="24"/>
    </w:rPr>
  </w:style>
  <w:style w:type="paragraph" w:customStyle="1" w:styleId="66">
    <w:name w:val="报告表格内中"/>
    <w:basedOn w:val="1"/>
    <w:link w:val="136"/>
    <w:qFormat/>
    <w:uiPriority w:val="0"/>
    <w:pPr>
      <w:spacing w:before="100" w:beforeAutospacing="1"/>
      <w:jc w:val="center"/>
    </w:pPr>
    <w:rPr>
      <w:bCs/>
      <w:sz w:val="24"/>
      <w:szCs w:val="24"/>
    </w:rPr>
  </w:style>
  <w:style w:type="paragraph" w:customStyle="1" w:styleId="67">
    <w:name w:val="p16"/>
    <w:basedOn w:val="1"/>
    <w:qFormat/>
    <w:uiPriority w:val="0"/>
    <w:pPr>
      <w:widowControl/>
    </w:pPr>
    <w:rPr>
      <w:rFonts w:ascii="宋体" w:hAnsi="宋体" w:cs="宋体"/>
      <w:kern w:val="0"/>
      <w:szCs w:val="21"/>
    </w:rPr>
  </w:style>
  <w:style w:type="paragraph" w:customStyle="1" w:styleId="68">
    <w:name w:val="p18"/>
    <w:basedOn w:val="1"/>
    <w:qFormat/>
    <w:uiPriority w:val="0"/>
    <w:pPr>
      <w:widowControl/>
      <w:snapToGrid w:val="0"/>
      <w:spacing w:before="312" w:beforeLines="0" w:line="360" w:lineRule="auto"/>
      <w:ind w:firstLine="479"/>
      <w:jc w:val="center"/>
    </w:pPr>
    <w:rPr>
      <w:rFonts w:ascii="宋体" w:hAnsi="宋体" w:cs="宋体"/>
      <w:b/>
      <w:bCs/>
      <w:color w:val="000000"/>
      <w:spacing w:val="-2"/>
      <w:kern w:val="0"/>
      <w:sz w:val="24"/>
      <w:szCs w:val="24"/>
    </w:rPr>
  </w:style>
  <w:style w:type="paragraph" w:customStyle="1" w:styleId="69">
    <w:name w:val="样式 列表 2 + 华文仿宋 居中"/>
    <w:basedOn w:val="23"/>
    <w:qFormat/>
    <w:uiPriority w:val="0"/>
    <w:pPr>
      <w:adjustRightInd/>
      <w:snapToGrid/>
      <w:spacing w:line="240" w:lineRule="auto"/>
      <w:ind w:left="0" w:leftChars="0" w:firstLine="0" w:firstLineChars="0"/>
      <w:jc w:val="center"/>
    </w:pPr>
    <w:rPr>
      <w:rFonts w:ascii="Times New Roman" w:hAnsi="Times New Roman" w:eastAsia="楷体_GB2312" w:cs="宋体"/>
      <w:snapToGrid/>
      <w:color w:val="000000"/>
      <w:kern w:val="2"/>
      <w:sz w:val="21"/>
      <w:szCs w:val="21"/>
    </w:rPr>
  </w:style>
  <w:style w:type="paragraph" w:customStyle="1" w:styleId="70">
    <w:name w:val="报告表  段"/>
    <w:basedOn w:val="1"/>
    <w:link w:val="146"/>
    <w:qFormat/>
    <w:uiPriority w:val="0"/>
    <w:pPr>
      <w:adjustRightInd w:val="0"/>
      <w:spacing w:line="360" w:lineRule="auto"/>
      <w:ind w:firstLine="505"/>
      <w:textAlignment w:val="baseline"/>
    </w:pPr>
    <w:rPr>
      <w:rFonts w:ascii="宋体"/>
      <w:sz w:val="24"/>
    </w:rPr>
  </w:style>
  <w:style w:type="paragraph" w:customStyle="1" w:styleId="71">
    <w:name w:val="表名"/>
    <w:basedOn w:val="1"/>
    <w:link w:val="150"/>
    <w:qFormat/>
    <w:uiPriority w:val="0"/>
    <w:pPr>
      <w:adjustRightInd w:val="0"/>
      <w:spacing w:before="80" w:beforeLines="0" w:after="80" w:afterLines="0" w:line="440" w:lineRule="atLeast"/>
      <w:jc w:val="center"/>
      <w:textAlignment w:val="baseline"/>
    </w:pPr>
    <w:rPr>
      <w:b/>
      <w:bCs/>
      <w:kern w:val="0"/>
      <w:sz w:val="24"/>
    </w:rPr>
  </w:style>
  <w:style w:type="paragraph" w:customStyle="1" w:styleId="72">
    <w:name w:val="表格"/>
    <w:basedOn w:val="1"/>
    <w:next w:val="1"/>
    <w:link w:val="168"/>
    <w:qFormat/>
    <w:uiPriority w:val="0"/>
    <w:pPr>
      <w:jc w:val="center"/>
    </w:pPr>
    <w:rPr>
      <w:sz w:val="24"/>
      <w:szCs w:val="24"/>
    </w:rPr>
  </w:style>
  <w:style w:type="paragraph" w:customStyle="1" w:styleId="73">
    <w:name w:val="样式 样式 (符号) 宋体 小四 行距: 1.5 倍行距 + 首行缩进:  2 字符"/>
    <w:basedOn w:val="51"/>
    <w:qFormat/>
    <w:uiPriority w:val="0"/>
    <w:pPr>
      <w:ind w:firstLine="456"/>
    </w:pPr>
  </w:style>
  <w:style w:type="paragraph" w:customStyle="1" w:styleId="74">
    <w:name w:val="永环书三级标题"/>
    <w:basedOn w:val="1"/>
    <w:qFormat/>
    <w:uiPriority w:val="0"/>
    <w:pPr>
      <w:spacing w:before="156" w:beforeLines="50" w:after="156" w:afterLines="50" w:line="500" w:lineRule="exact"/>
      <w:outlineLvl w:val="2"/>
    </w:pPr>
    <w:rPr>
      <w:rFonts w:eastAsia="黑体"/>
      <w:b/>
      <w:sz w:val="24"/>
      <w:szCs w:val="24"/>
    </w:rPr>
  </w:style>
  <w:style w:type="paragraph" w:customStyle="1" w:styleId="75">
    <w:name w:val="文章正文样式"/>
    <w:basedOn w:val="1"/>
    <w:link w:val="169"/>
    <w:qFormat/>
    <w:uiPriority w:val="0"/>
    <w:pPr>
      <w:spacing w:line="520" w:lineRule="exact"/>
      <w:ind w:firstLine="480" w:firstLineChars="200"/>
      <w:jc w:val="left"/>
    </w:pPr>
    <w:rPr>
      <w:rFonts w:ascii="宋体" w:hAnsi="宋体"/>
      <w:sz w:val="24"/>
    </w:rPr>
  </w:style>
  <w:style w:type="paragraph" w:customStyle="1" w:styleId="76">
    <w:name w:val="1"/>
    <w:basedOn w:val="1"/>
    <w:next w:val="3"/>
    <w:link w:val="154"/>
    <w:qFormat/>
    <w:uiPriority w:val="0"/>
    <w:pPr>
      <w:spacing w:line="360" w:lineRule="auto"/>
      <w:ind w:firstLine="480" w:firstLineChars="200"/>
    </w:pPr>
    <w:rPr>
      <w:rFonts w:ascii="仿宋_GB2312" w:eastAsia="仿宋_GB2312"/>
      <w:sz w:val="24"/>
      <w:szCs w:val="24"/>
    </w:rPr>
  </w:style>
  <w:style w:type="paragraph" w:customStyle="1" w:styleId="77">
    <w:name w:val="Char Char1 Char Char Char Char Char Char Char Char Char Char Char Char Char Char Char Char Char Char Char Char1 Char"/>
    <w:basedOn w:val="1"/>
    <w:link w:val="147"/>
    <w:qFormat/>
    <w:uiPriority w:val="0"/>
    <w:pPr>
      <w:spacing w:line="360" w:lineRule="auto"/>
      <w:ind w:firstLine="200" w:firstLineChars="200"/>
    </w:pPr>
    <w:rPr>
      <w:rFonts w:ascii="宋体" w:hAnsi="宋体"/>
      <w:sz w:val="24"/>
      <w:szCs w:val="24"/>
    </w:rPr>
  </w:style>
  <w:style w:type="paragraph" w:customStyle="1" w:styleId="78">
    <w:name w:val="正文-小四宋体ctrl+`"/>
    <w:basedOn w:val="1"/>
    <w:qFormat/>
    <w:uiPriority w:val="0"/>
    <w:pPr>
      <w:spacing w:line="360" w:lineRule="auto"/>
      <w:ind w:firstLine="480" w:firstLineChars="200"/>
    </w:pPr>
    <w:rPr>
      <w:sz w:val="24"/>
    </w:rPr>
  </w:style>
  <w:style w:type="paragraph" w:customStyle="1" w:styleId="79">
    <w:name w:val="表格标题"/>
    <w:basedOn w:val="11"/>
    <w:qFormat/>
    <w:uiPriority w:val="0"/>
    <w:pPr>
      <w:adjustRightInd w:val="0"/>
      <w:snapToGrid w:val="0"/>
      <w:spacing w:after="0" w:line="360" w:lineRule="auto"/>
      <w:ind w:firstLine="0" w:firstLineChars="0"/>
      <w:jc w:val="center"/>
    </w:pPr>
    <w:rPr>
      <w:rFonts w:eastAsia="黑体"/>
      <w:sz w:val="24"/>
    </w:rPr>
  </w:style>
  <w:style w:type="paragraph" w:customStyle="1" w:styleId="80">
    <w:name w:val="表文"/>
    <w:basedOn w:val="12"/>
    <w:next w:val="19"/>
    <w:link w:val="145"/>
    <w:qFormat/>
    <w:uiPriority w:val="0"/>
    <w:pPr>
      <w:spacing w:after="0" w:afterLines="0"/>
      <w:jc w:val="center"/>
    </w:pPr>
    <w:rPr>
      <w:sz w:val="24"/>
    </w:rPr>
  </w:style>
  <w:style w:type="paragraph" w:customStyle="1" w:styleId="81">
    <w:name w:val=" Char Char Char Char Char Char Char Char Char1 Char Char Char Char"/>
    <w:basedOn w:val="1"/>
    <w:qFormat/>
    <w:uiPriority w:val="0"/>
    <w:rPr>
      <w:sz w:val="24"/>
      <w:szCs w:val="24"/>
    </w:rPr>
  </w:style>
  <w:style w:type="paragraph" w:customStyle="1" w:styleId="82">
    <w:name w:val="默认段落字体 Para Char Char"/>
    <w:basedOn w:val="1"/>
    <w:qFormat/>
    <w:uiPriority w:val="0"/>
  </w:style>
  <w:style w:type="paragraph" w:customStyle="1" w:styleId="83">
    <w:name w:val="永环书二级标题"/>
    <w:basedOn w:val="1"/>
    <w:qFormat/>
    <w:uiPriority w:val="0"/>
    <w:pPr>
      <w:spacing w:before="156" w:beforeLines="50" w:after="156" w:afterLines="50" w:line="500" w:lineRule="exact"/>
      <w:outlineLvl w:val="1"/>
    </w:pPr>
    <w:rPr>
      <w:rFonts w:eastAsia="黑体"/>
      <w:b/>
      <w:sz w:val="28"/>
      <w:szCs w:val="28"/>
    </w:rPr>
  </w:style>
  <w:style w:type="paragraph" w:customStyle="1" w:styleId="84">
    <w:name w:val="宗兴正文"/>
    <w:basedOn w:val="1"/>
    <w:link w:val="162"/>
    <w:qFormat/>
    <w:uiPriority w:val="0"/>
    <w:pPr>
      <w:spacing w:before="93" w:after="93" w:line="360" w:lineRule="auto"/>
      <w:ind w:firstLine="480" w:firstLineChars="200"/>
      <w:jc w:val="left"/>
    </w:pPr>
    <w:rPr>
      <w:sz w:val="24"/>
      <w:szCs w:val="24"/>
    </w:rPr>
  </w:style>
  <w:style w:type="paragraph" w:customStyle="1" w:styleId="85">
    <w:name w:val="样式 题注 + 首行缩进:  2 字符"/>
    <w:basedOn w:val="20"/>
    <w:link w:val="144"/>
    <w:qFormat/>
    <w:uiPriority w:val="0"/>
    <w:pPr>
      <w:adjustRightInd/>
      <w:snapToGrid/>
      <w:spacing w:line="360" w:lineRule="auto"/>
    </w:pPr>
    <w:rPr>
      <w:rFonts w:ascii="Arial" w:hAnsi="Arial" w:eastAsia="黑体" w:cs="宋体"/>
      <w:sz w:val="21"/>
    </w:rPr>
  </w:style>
  <w:style w:type="paragraph" w:customStyle="1" w:styleId="86">
    <w:name w:val="正文样式1"/>
    <w:basedOn w:val="1"/>
    <w:qFormat/>
    <w:uiPriority w:val="0"/>
    <w:pPr>
      <w:adjustRightInd w:val="0"/>
      <w:spacing w:line="360" w:lineRule="auto"/>
      <w:ind w:firstLine="480" w:firstLineChars="200"/>
      <w:textAlignment w:val="baseline"/>
    </w:pPr>
    <w:rPr>
      <w:rFonts w:hAnsi="宋体"/>
      <w:color w:val="000000"/>
      <w:sz w:val="24"/>
      <w:szCs w:val="24"/>
    </w:rPr>
  </w:style>
  <w:style w:type="paragraph" w:customStyle="1" w:styleId="87">
    <w:name w:val="表格中字"/>
    <w:basedOn w:val="1"/>
    <w:qFormat/>
    <w:uiPriority w:val="0"/>
    <w:pPr>
      <w:jc w:val="center"/>
    </w:pPr>
    <w:rPr>
      <w:rFonts w:ascii="楷体_GB2312" w:eastAsia="楷体_GB2312"/>
      <w:spacing w:val="-8"/>
      <w:kern w:val="0"/>
      <w:sz w:val="24"/>
    </w:rPr>
  </w:style>
  <w:style w:type="paragraph" w:customStyle="1" w:styleId="88">
    <w:name w:val="正文小四"/>
    <w:basedOn w:val="1"/>
    <w:qFormat/>
    <w:uiPriority w:val="0"/>
    <w:pPr>
      <w:spacing w:line="360" w:lineRule="auto"/>
    </w:pPr>
    <w:rPr>
      <w:sz w:val="24"/>
    </w:rPr>
  </w:style>
  <w:style w:type="paragraph" w:customStyle="1" w:styleId="89">
    <w:name w:val="表格文字"/>
    <w:basedOn w:val="1"/>
    <w:link w:val="148"/>
    <w:qFormat/>
    <w:uiPriority w:val="0"/>
    <w:pPr>
      <w:widowControl/>
      <w:jc w:val="center"/>
    </w:pPr>
    <w:rPr>
      <w:rFonts w:ascii="宋体" w:hAnsi="宋体" w:cs="宋体"/>
      <w:color w:val="000000"/>
      <w:kern w:val="0"/>
      <w:sz w:val="24"/>
      <w:szCs w:val="21"/>
    </w:rPr>
  </w:style>
  <w:style w:type="paragraph" w:customStyle="1" w:styleId="90">
    <w:name w:val="表文字"/>
    <w:basedOn w:val="1"/>
    <w:link w:val="149"/>
    <w:qFormat/>
    <w:uiPriority w:val="0"/>
    <w:pPr>
      <w:tabs>
        <w:tab w:val="left" w:pos="945"/>
        <w:tab w:val="right" w:leader="dot" w:pos="1155"/>
        <w:tab w:val="left" w:pos="8715"/>
      </w:tabs>
      <w:adjustRightInd w:val="0"/>
      <w:snapToGrid w:val="0"/>
      <w:spacing w:before="15" w:beforeLines="15" w:after="15" w:afterLines="15" w:line="240" w:lineRule="auto"/>
      <w:jc w:val="center"/>
      <w:textAlignment w:val="baseline"/>
    </w:pPr>
    <w:rPr>
      <w:rFonts w:ascii="宋体" w:hAnsi="宋体" w:eastAsia="宋体"/>
      <w:snapToGrid w:val="0"/>
      <w:color w:val="000000"/>
      <w:kern w:val="0"/>
      <w:szCs w:val="9"/>
    </w:rPr>
  </w:style>
  <w:style w:type="paragraph" w:customStyle="1" w:styleId="91">
    <w:name w:val="Char Char Char Char Char Char1 Char"/>
    <w:basedOn w:val="1"/>
    <w:qFormat/>
    <w:uiPriority w:val="0"/>
    <w:pPr>
      <w:spacing w:line="360" w:lineRule="auto"/>
    </w:pPr>
    <w:rPr>
      <w:szCs w:val="24"/>
    </w:rPr>
  </w:style>
  <w:style w:type="paragraph" w:customStyle="1" w:styleId="92">
    <w:name w:val="_Style 6"/>
    <w:basedOn w:val="1"/>
    <w:qFormat/>
    <w:uiPriority w:val="0"/>
    <w:pPr>
      <w:spacing w:line="360" w:lineRule="auto"/>
      <w:ind w:firstLine="200" w:firstLineChars="200"/>
    </w:pPr>
    <w:rPr>
      <w:rFonts w:eastAsia="仿宋_GB2312"/>
      <w:sz w:val="32"/>
      <w:szCs w:val="32"/>
    </w:rPr>
  </w:style>
  <w:style w:type="paragraph" w:customStyle="1" w:styleId="93">
    <w:name w:val="正文（DMS）"/>
    <w:basedOn w:val="1"/>
    <w:qFormat/>
    <w:uiPriority w:val="0"/>
    <w:pPr>
      <w:adjustRightInd w:val="0"/>
      <w:snapToGrid w:val="0"/>
      <w:spacing w:before="312" w:beforeLines="100" w:line="360" w:lineRule="auto"/>
      <w:ind w:firstLine="540" w:firstLineChars="228"/>
      <w:jc w:val="center"/>
    </w:pPr>
    <w:rPr>
      <w:rFonts w:ascii="宋体" w:hAnsi="宋体" w:eastAsia="宋体"/>
      <w:b/>
      <w:snapToGrid w:val="0"/>
      <w:color w:val="000000"/>
      <w:spacing w:val="-2"/>
      <w:sz w:val="24"/>
      <w:szCs w:val="24"/>
      <w:lang w:val="en-US" w:eastAsia="zh-CN" w:bidi="ar-SA"/>
    </w:rPr>
  </w:style>
  <w:style w:type="paragraph" w:customStyle="1" w:styleId="94">
    <w:name w:val="正文标题3"/>
    <w:basedOn w:val="9"/>
    <w:qFormat/>
    <w:uiPriority w:val="0"/>
    <w:pPr>
      <w:numPr>
        <w:ilvl w:val="0"/>
        <w:numId w:val="0"/>
      </w:numPr>
      <w:snapToGrid w:val="0"/>
      <w:spacing w:before="60" w:after="120" w:line="240" w:lineRule="auto"/>
      <w:ind w:firstLine="510"/>
    </w:pPr>
    <w:rPr>
      <w:rFonts w:eastAsia="黑体"/>
    </w:rPr>
  </w:style>
  <w:style w:type="paragraph" w:customStyle="1" w:styleId="95">
    <w:name w:val="章标题"/>
    <w:next w:val="54"/>
    <w:qFormat/>
    <w:uiPriority w:val="0"/>
    <w:pPr>
      <w:spacing w:before="50" w:after="50"/>
      <w:jc w:val="both"/>
      <w:outlineLvl w:val="1"/>
    </w:pPr>
    <w:rPr>
      <w:rFonts w:ascii="黑体" w:hAnsi="Times New Roman" w:eastAsia="黑体" w:cs="Times New Roman"/>
      <w:sz w:val="21"/>
      <w:lang w:val="en-US" w:eastAsia="zh-CN" w:bidi="ar-SA"/>
    </w:rPr>
  </w:style>
  <w:style w:type="paragraph" w:customStyle="1" w:styleId="96">
    <w:name w:val="正文缩进1"/>
    <w:basedOn w:val="1"/>
    <w:qFormat/>
    <w:uiPriority w:val="0"/>
    <w:pPr>
      <w:ind w:firstLine="420"/>
    </w:pPr>
    <w:rPr>
      <w:rFonts w:ascii="Calibri" w:hAnsi="Calibri"/>
      <w:szCs w:val="22"/>
    </w:rPr>
  </w:style>
  <w:style w:type="paragraph" w:customStyle="1" w:styleId="97">
    <w:name w:val="_Style 30"/>
    <w:basedOn w:val="1"/>
    <w:qFormat/>
    <w:uiPriority w:val="0"/>
    <w:pPr>
      <w:spacing w:line="360" w:lineRule="auto"/>
      <w:ind w:firstLine="480" w:firstLineChars="200"/>
    </w:pPr>
    <w:rPr>
      <w:sz w:val="24"/>
    </w:rPr>
  </w:style>
  <w:style w:type="paragraph" w:customStyle="1" w:styleId="98">
    <w:name w:val=" Char Char Char Char"/>
    <w:basedOn w:val="1"/>
    <w:qFormat/>
    <w:uiPriority w:val="0"/>
  </w:style>
  <w:style w:type="paragraph" w:customStyle="1" w:styleId="99">
    <w:name w:val="样式 首行缩进:  0.99 厘米 行距: 1.5 倍行距2"/>
    <w:basedOn w:val="1"/>
    <w:qFormat/>
    <w:uiPriority w:val="0"/>
    <w:pPr>
      <w:adjustRightInd w:val="0"/>
      <w:snapToGrid w:val="0"/>
      <w:jc w:val="center"/>
    </w:pPr>
    <w:rPr>
      <w:color w:val="FF0000"/>
      <w:szCs w:val="24"/>
    </w:rPr>
  </w:style>
  <w:style w:type="paragraph" w:customStyle="1" w:styleId="100">
    <w:name w:val="表"/>
    <w:basedOn w:val="1"/>
    <w:qFormat/>
    <w:uiPriority w:val="0"/>
    <w:pPr>
      <w:snapToGrid w:val="0"/>
      <w:jc w:val="center"/>
    </w:pPr>
    <w:rPr>
      <w:spacing w:val="2"/>
      <w:sz w:val="24"/>
    </w:rPr>
  </w:style>
  <w:style w:type="paragraph" w:customStyle="1" w:styleId="101">
    <w:name w:val="正文(首行缩进)"/>
    <w:basedOn w:val="1"/>
    <w:qFormat/>
    <w:uiPriority w:val="0"/>
    <w:pPr>
      <w:spacing w:line="360" w:lineRule="auto"/>
      <w:ind w:firstLine="480" w:firstLineChars="200"/>
    </w:pPr>
    <w:rPr>
      <w:rFonts w:hAnsi="宋体"/>
      <w:sz w:val="24"/>
      <w:szCs w:val="24"/>
    </w:rPr>
  </w:style>
  <w:style w:type="paragraph" w:customStyle="1" w:styleId="102">
    <w:name w:val="样式 正文文字缩进 + 小四 首行缩进:  2 字符1"/>
    <w:basedOn w:val="3"/>
    <w:qFormat/>
    <w:uiPriority w:val="0"/>
    <w:pPr>
      <w:spacing w:after="156" w:afterLines="50" w:line="400" w:lineRule="exact"/>
      <w:ind w:left="0" w:leftChars="0" w:firstLine="200" w:firstLineChars="200"/>
    </w:pPr>
    <w:rPr>
      <w:rFonts w:eastAsia="华文楷体"/>
      <w:sz w:val="28"/>
      <w:szCs w:val="20"/>
    </w:rPr>
  </w:style>
  <w:style w:type="paragraph" w:customStyle="1" w:styleId="103">
    <w:name w:val="图形中文字"/>
    <w:basedOn w:val="1"/>
    <w:qFormat/>
    <w:uiPriority w:val="0"/>
    <w:pPr>
      <w:autoSpaceDE w:val="0"/>
      <w:autoSpaceDN w:val="0"/>
      <w:adjustRightInd w:val="0"/>
      <w:spacing w:line="460" w:lineRule="exact"/>
      <w:jc w:val="center"/>
    </w:pPr>
    <w:rPr>
      <w:rFonts w:ascii="宋体" w:hAnsi="Tms Rmn"/>
      <w:kern w:val="0"/>
      <w:sz w:val="24"/>
    </w:rPr>
  </w:style>
  <w:style w:type="paragraph" w:customStyle="1" w:styleId="104">
    <w:name w:val="环评（段2）"/>
    <w:basedOn w:val="1"/>
    <w:qFormat/>
    <w:uiPriority w:val="0"/>
    <w:pPr>
      <w:tabs>
        <w:tab w:val="left" w:pos="-2625"/>
      </w:tabs>
      <w:autoSpaceDE w:val="0"/>
      <w:autoSpaceDN w:val="0"/>
      <w:adjustRightInd w:val="0"/>
      <w:spacing w:before="120" w:line="300" w:lineRule="auto"/>
      <w:ind w:left="851"/>
      <w:textAlignment w:val="baseline"/>
    </w:pPr>
    <w:rPr>
      <w:rFonts w:ascii="宋体"/>
      <w:kern w:val="0"/>
      <w:sz w:val="24"/>
    </w:rPr>
  </w:style>
  <w:style w:type="paragraph" w:customStyle="1" w:styleId="105">
    <w:name w:val=" Char Char Char"/>
    <w:basedOn w:val="1"/>
    <w:qFormat/>
    <w:uiPriority w:val="0"/>
    <w:pPr>
      <w:spacing w:line="360" w:lineRule="auto"/>
      <w:ind w:firstLine="200" w:firstLineChars="200"/>
    </w:pPr>
    <w:rPr>
      <w:szCs w:val="24"/>
    </w:rPr>
  </w:style>
  <w:style w:type="paragraph" w:customStyle="1" w:styleId="106">
    <w:name w:val="样式 样式 (中文) 仿宋_GB2312 居中1 + 小四"/>
    <w:basedOn w:val="1"/>
    <w:qFormat/>
    <w:uiPriority w:val="0"/>
    <w:pPr>
      <w:jc w:val="center"/>
    </w:pPr>
    <w:rPr>
      <w:color w:val="000000"/>
      <w:kern w:val="0"/>
      <w:szCs w:val="21"/>
    </w:rPr>
  </w:style>
  <w:style w:type="paragraph" w:styleId="107">
    <w:name w:val="No Spacing"/>
    <w:qFormat/>
    <w:uiPriority w:val="1"/>
    <w:pPr>
      <w:widowControl w:val="0"/>
      <w:spacing w:line="360" w:lineRule="auto"/>
      <w:ind w:firstLine="200" w:firstLineChars="200"/>
      <w:jc w:val="both"/>
    </w:pPr>
    <w:rPr>
      <w:rFonts w:ascii="Times New Roman" w:hAnsi="Times New Roman" w:eastAsia="宋体" w:cs="Times New Roman"/>
      <w:kern w:val="2"/>
      <w:sz w:val="24"/>
      <w:szCs w:val="24"/>
      <w:lang w:val="en-US" w:eastAsia="zh-CN" w:bidi="ar-SA"/>
    </w:rPr>
  </w:style>
  <w:style w:type="paragraph" w:customStyle="1" w:styleId="108">
    <w:name w:val=" Char Char Char Char Char Char Char Char Char Char"/>
    <w:basedOn w:val="1"/>
    <w:qFormat/>
    <w:uiPriority w:val="0"/>
    <w:pPr>
      <w:ind w:firstLine="480" w:firstLineChars="200"/>
    </w:pPr>
    <w:rPr>
      <w:rFonts w:ascii="宋体"/>
      <w:sz w:val="28"/>
      <w:szCs w:val="24"/>
    </w:rPr>
  </w:style>
  <w:style w:type="paragraph" w:customStyle="1" w:styleId="109">
    <w:name w:val="bOK(表内容)"/>
    <w:basedOn w:val="1"/>
    <w:qFormat/>
    <w:uiPriority w:val="0"/>
    <w:pPr>
      <w:adjustRightInd w:val="0"/>
      <w:spacing w:line="360" w:lineRule="atLeast"/>
      <w:jc w:val="left"/>
      <w:textAlignment w:val="baseline"/>
    </w:pPr>
    <w:rPr>
      <w:rFonts w:ascii="Arial" w:hAnsi="Arial"/>
      <w:kern w:val="0"/>
    </w:rPr>
  </w:style>
  <w:style w:type="paragraph" w:customStyle="1" w:styleId="110">
    <w:name w:val="正文（用）"/>
    <w:basedOn w:val="1"/>
    <w:qFormat/>
    <w:uiPriority w:val="0"/>
    <w:pPr>
      <w:spacing w:line="360" w:lineRule="auto"/>
      <w:ind w:firstLine="480" w:firstLineChars="200"/>
      <w:jc w:val="left"/>
    </w:pPr>
    <w:rPr>
      <w:rFonts w:ascii="宋体" w:hAnsi="宋体" w:cs="宋体"/>
      <w:sz w:val="24"/>
    </w:rPr>
  </w:style>
  <w:style w:type="paragraph" w:customStyle="1" w:styleId="111">
    <w:name w:val="p0"/>
    <w:basedOn w:val="1"/>
    <w:qFormat/>
    <w:uiPriority w:val="0"/>
    <w:pPr>
      <w:widowControl/>
    </w:pPr>
    <w:rPr>
      <w:rFonts w:hint="eastAsia"/>
    </w:rPr>
  </w:style>
  <w:style w:type="paragraph" w:customStyle="1" w:styleId="112">
    <w:name w:val="报告表正文"/>
    <w:basedOn w:val="1"/>
    <w:qFormat/>
    <w:uiPriority w:val="0"/>
    <w:pPr>
      <w:adjustRightInd w:val="0"/>
      <w:spacing w:line="312" w:lineRule="auto"/>
      <w:ind w:left="113" w:right="113" w:firstLine="482"/>
      <w:jc w:val="left"/>
      <w:textAlignment w:val="baseline"/>
    </w:pPr>
    <w:rPr>
      <w:kern w:val="0"/>
      <w:sz w:val="24"/>
    </w:rPr>
  </w:style>
  <w:style w:type="paragraph" w:customStyle="1" w:styleId="113">
    <w:name w:val="注解"/>
    <w:basedOn w:val="1"/>
    <w:qFormat/>
    <w:uiPriority w:val="0"/>
    <w:pPr>
      <w:spacing w:line="520" w:lineRule="exact"/>
      <w:ind w:firstLine="480" w:firstLineChars="200"/>
    </w:pPr>
    <w:rPr>
      <w:rFonts w:hAnsi="宋体"/>
      <w:bCs/>
      <w:color w:val="FF0000"/>
      <w:sz w:val="24"/>
      <w:szCs w:val="21"/>
    </w:rPr>
  </w:style>
  <w:style w:type="paragraph" w:customStyle="1" w:styleId="114">
    <w:name w:val="正文 Char Char"/>
    <w:basedOn w:val="1"/>
    <w:next w:val="1"/>
    <w:semiHidden/>
    <w:qFormat/>
    <w:uiPriority w:val="0"/>
    <w:pPr>
      <w:adjustRightInd w:val="0"/>
      <w:spacing w:line="360" w:lineRule="auto"/>
      <w:ind w:firstLine="482"/>
      <w:jc w:val="left"/>
      <w:textAlignment w:val="baseline"/>
    </w:pPr>
    <w:rPr>
      <w:rFonts w:ascii="宋体"/>
      <w:snapToGrid w:val="0"/>
      <w:spacing w:val="4"/>
      <w:kern w:val="21"/>
      <w:sz w:val="24"/>
      <w:szCs w:val="24"/>
    </w:rPr>
  </w:style>
  <w:style w:type="paragraph" w:customStyle="1" w:styleId="115">
    <w:name w:val="1233"/>
    <w:basedOn w:val="1"/>
    <w:qFormat/>
    <w:uiPriority w:val="0"/>
    <w:pPr>
      <w:spacing w:before="100" w:line="360" w:lineRule="auto"/>
      <w:ind w:firstLine="480"/>
    </w:pPr>
    <w:rPr>
      <w:sz w:val="24"/>
    </w:rPr>
  </w:style>
  <w:style w:type="paragraph" w:customStyle="1" w:styleId="116">
    <w:name w:val="段落1"/>
    <w:basedOn w:val="1"/>
    <w:qFormat/>
    <w:uiPriority w:val="0"/>
    <w:pPr>
      <w:spacing w:line="480" w:lineRule="exact"/>
      <w:ind w:firstLine="584" w:firstLineChars="200"/>
    </w:pPr>
    <w:rPr>
      <w:spacing w:val="6"/>
      <w:sz w:val="28"/>
      <w:szCs w:val="24"/>
    </w:rPr>
  </w:style>
  <w:style w:type="paragraph" w:customStyle="1" w:styleId="117">
    <w:name w:val=" Char Char3 Char Char Char Char Char2 Char Char Char Char"/>
    <w:basedOn w:val="21"/>
    <w:qFormat/>
    <w:uiPriority w:val="0"/>
    <w:pPr>
      <w:shd w:val="clear" w:color="auto" w:fill="000080"/>
      <w:adjustRightInd w:val="0"/>
      <w:snapToGrid w:val="0"/>
      <w:spacing w:line="360" w:lineRule="auto"/>
    </w:pPr>
    <w:rPr>
      <w:rFonts w:ascii="Tahoma" w:hAnsi="Tahoma" w:eastAsia="仿宋_GB2312"/>
      <w:sz w:val="28"/>
      <w:szCs w:val="24"/>
    </w:rPr>
  </w:style>
  <w:style w:type="paragraph" w:customStyle="1" w:styleId="118">
    <w:name w:val="报告表小标题"/>
    <w:basedOn w:val="1"/>
    <w:link w:val="141"/>
    <w:qFormat/>
    <w:uiPriority w:val="0"/>
    <w:pPr>
      <w:snapToGrid w:val="0"/>
      <w:spacing w:before="100" w:beforeLines="0" w:beforeAutospacing="1" w:line="360" w:lineRule="auto"/>
    </w:pPr>
    <w:rPr>
      <w:rFonts w:ascii="宋体"/>
      <w:b/>
      <w:sz w:val="24"/>
    </w:rPr>
  </w:style>
  <w:style w:type="paragraph" w:customStyle="1" w:styleId="119">
    <w:name w:val="Normal Indent"/>
    <w:basedOn w:val="1"/>
    <w:link w:val="135"/>
    <w:qFormat/>
    <w:uiPriority w:val="0"/>
    <w:pPr>
      <w:ind w:firstLine="420"/>
    </w:pPr>
    <w:rPr>
      <w:sz w:val="24"/>
      <w:szCs w:val="24"/>
    </w:rPr>
  </w:style>
  <w:style w:type="paragraph" w:customStyle="1" w:styleId="120">
    <w:name w:val="5"/>
    <w:basedOn w:val="1"/>
    <w:next w:val="3"/>
    <w:qFormat/>
    <w:uiPriority w:val="0"/>
    <w:pPr>
      <w:ind w:firstLine="540"/>
    </w:pPr>
    <w:rPr>
      <w:rFonts w:ascii="宋体"/>
      <w:sz w:val="28"/>
      <w:szCs w:val="20"/>
    </w:rPr>
  </w:style>
  <w:style w:type="paragraph" w:customStyle="1" w:styleId="121">
    <w:name w:val="表题"/>
    <w:basedOn w:val="1"/>
    <w:qFormat/>
    <w:uiPriority w:val="0"/>
    <w:pPr>
      <w:tabs>
        <w:tab w:val="left" w:pos="940"/>
      </w:tabs>
      <w:snapToGrid w:val="0"/>
      <w:jc w:val="center"/>
    </w:pPr>
    <w:rPr>
      <w:rFonts w:eastAsia="黑体"/>
      <w:sz w:val="24"/>
    </w:rPr>
  </w:style>
  <w:style w:type="paragraph" w:customStyle="1" w:styleId="122">
    <w:name w:val=" Char1"/>
    <w:basedOn w:val="1"/>
    <w:qFormat/>
    <w:uiPriority w:val="0"/>
    <w:pPr>
      <w:spacing w:line="360" w:lineRule="auto"/>
      <w:ind w:firstLine="200" w:firstLineChars="200"/>
    </w:pPr>
    <w:rPr>
      <w:szCs w:val="24"/>
    </w:rPr>
  </w:style>
  <w:style w:type="paragraph" w:customStyle="1" w:styleId="123">
    <w:name w:val="居中正文"/>
    <w:basedOn w:val="11"/>
    <w:qFormat/>
    <w:uiPriority w:val="0"/>
    <w:pPr>
      <w:adjustRightInd w:val="0"/>
      <w:spacing w:before="120" w:beforeLines="0" w:after="0" w:afterLines="0" w:line="360" w:lineRule="auto"/>
      <w:ind w:firstLine="0" w:firstLineChars="0"/>
      <w:jc w:val="center"/>
    </w:pPr>
    <w:rPr>
      <w:rFonts w:hint="eastAsia" w:ascii="宋体" w:hAnsi="Times New Roman" w:eastAsia="宋体"/>
      <w:bCs/>
      <w:kern w:val="28"/>
      <w:szCs w:val="20"/>
    </w:rPr>
  </w:style>
  <w:style w:type="paragraph" w:customStyle="1" w:styleId="124">
    <w:name w:val=" Char Char Char1 Char Char Char Char Char Char Char Char Char Char Char Char1 Char Char Char Char"/>
    <w:basedOn w:val="1"/>
    <w:qFormat/>
    <w:uiPriority w:val="0"/>
    <w:pPr>
      <w:spacing w:line="360" w:lineRule="auto"/>
      <w:ind w:firstLine="200" w:firstLineChars="200"/>
    </w:pPr>
    <w:rPr>
      <w:sz w:val="30"/>
    </w:rPr>
  </w:style>
  <w:style w:type="paragraph" w:customStyle="1" w:styleId="125">
    <w:name w:val="3 Char Char Char Char Char Char Char"/>
    <w:basedOn w:val="1"/>
    <w:qFormat/>
    <w:uiPriority w:val="0"/>
    <w:pPr>
      <w:adjustRightInd w:val="0"/>
      <w:snapToGrid w:val="0"/>
      <w:spacing w:before="156" w:beforeLines="50" w:line="312" w:lineRule="auto"/>
      <w:ind w:firstLine="480" w:firstLineChars="200"/>
      <w:jc w:val="center"/>
    </w:pPr>
    <w:rPr>
      <w:szCs w:val="24"/>
    </w:rPr>
  </w:style>
  <w:style w:type="paragraph" w:customStyle="1" w:styleId="126">
    <w:name w:val=" Char Char Char Char Char Char"/>
    <w:basedOn w:val="1"/>
    <w:qFormat/>
    <w:uiPriority w:val="0"/>
    <w:rPr>
      <w:sz w:val="24"/>
      <w:szCs w:val="24"/>
    </w:rPr>
  </w:style>
  <w:style w:type="paragraph" w:customStyle="1" w:styleId="127">
    <w:name w:val="pa-12"/>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28">
    <w:name w:val="样式 方正仿宋_GBK 三号 行距: 固定值 28 磅"/>
    <w:basedOn w:val="1"/>
    <w:qFormat/>
    <w:uiPriority w:val="0"/>
    <w:pPr>
      <w:spacing w:line="360" w:lineRule="auto"/>
      <w:ind w:firstLine="200" w:firstLineChars="200"/>
      <w:jc w:val="left"/>
    </w:pPr>
    <w:rPr>
      <w:rFonts w:ascii="方正仿宋_GBK" w:hAnsi="方正仿宋_GBK" w:cs="宋体"/>
      <w:sz w:val="28"/>
    </w:rPr>
  </w:style>
  <w:style w:type="paragraph" w:customStyle="1" w:styleId="129">
    <w:name w:val="标题3 Char Char Char Char"/>
    <w:basedOn w:val="1"/>
    <w:qFormat/>
    <w:uiPriority w:val="0"/>
    <w:pPr>
      <w:spacing w:after="156" w:afterLines="50" w:line="560" w:lineRule="exact"/>
    </w:pPr>
    <w:rPr>
      <w:rFonts w:eastAsia="黑体"/>
      <w:sz w:val="30"/>
      <w:szCs w:val="30"/>
    </w:rPr>
  </w:style>
  <w:style w:type="paragraph" w:customStyle="1" w:styleId="130">
    <w:name w:val="五级条标题"/>
    <w:basedOn w:val="1"/>
    <w:next w:val="1"/>
    <w:qFormat/>
    <w:uiPriority w:val="0"/>
    <w:pPr>
      <w:widowControl/>
      <w:tabs>
        <w:tab w:val="left" w:pos="360"/>
      </w:tabs>
      <w:outlineLvl w:val="6"/>
    </w:pPr>
    <w:rPr>
      <w:rFonts w:ascii="黑体" w:eastAsia="黑体"/>
      <w:kern w:val="0"/>
    </w:rPr>
  </w:style>
  <w:style w:type="paragraph" w:customStyle="1" w:styleId="131">
    <w:name w:val="Table Paragraph"/>
    <w:basedOn w:val="1"/>
    <w:qFormat/>
    <w:uiPriority w:val="1"/>
    <w:pPr>
      <w:jc w:val="left"/>
    </w:pPr>
    <w:rPr>
      <w:rFonts w:ascii="Calibri" w:hAnsi="Calibri" w:eastAsia="宋体" w:cs="Times New Roman"/>
      <w:kern w:val="0"/>
      <w:sz w:val="22"/>
      <w:szCs w:val="22"/>
      <w:lang w:eastAsia="en-US"/>
    </w:rPr>
  </w:style>
  <w:style w:type="paragraph" w:customStyle="1" w:styleId="132">
    <w:name w:val="_Style 64"/>
    <w:basedOn w:val="1"/>
    <w:qFormat/>
    <w:uiPriority w:val="0"/>
    <w:rPr>
      <w:szCs w:val="24"/>
    </w:rPr>
  </w:style>
  <w:style w:type="paragraph" w:customStyle="1" w:styleId="133">
    <w:name w:val="_Style 129"/>
    <w:unhideWhenUsed/>
    <w:qFormat/>
    <w:uiPriority w:val="99"/>
    <w:rPr>
      <w:rFonts w:ascii="Times New Roman" w:hAnsi="Times New Roman" w:eastAsia="宋体" w:cs="Times New Roman"/>
      <w:kern w:val="2"/>
      <w:sz w:val="21"/>
      <w:lang w:val="en-US" w:eastAsia="zh-CN" w:bidi="ar-SA"/>
    </w:rPr>
  </w:style>
  <w:style w:type="paragraph" w:customStyle="1" w:styleId="134">
    <w:name w:val="S表名"/>
    <w:basedOn w:val="1"/>
    <w:qFormat/>
    <w:uiPriority w:val="0"/>
    <w:pPr>
      <w:spacing w:before="62" w:beforeLines="20" w:after="62" w:afterLines="20"/>
      <w:jc w:val="center"/>
    </w:pPr>
    <w:rPr>
      <w:b/>
      <w:sz w:val="24"/>
      <w:szCs w:val="24"/>
    </w:rPr>
  </w:style>
  <w:style w:type="character" w:customStyle="1" w:styleId="135">
    <w:name w:val="正文缩进 Char1"/>
    <w:link w:val="119"/>
    <w:qFormat/>
    <w:uiPriority w:val="0"/>
    <w:rPr>
      <w:kern w:val="2"/>
      <w:sz w:val="24"/>
      <w:szCs w:val="24"/>
    </w:rPr>
  </w:style>
  <w:style w:type="character" w:customStyle="1" w:styleId="136">
    <w:name w:val="报告表格内中 Char"/>
    <w:link w:val="66"/>
    <w:qFormat/>
    <w:uiPriority w:val="0"/>
    <w:rPr>
      <w:rFonts w:eastAsia="宋体"/>
      <w:bCs/>
      <w:kern w:val="2"/>
      <w:sz w:val="24"/>
      <w:szCs w:val="24"/>
      <w:lang w:val="en-US" w:eastAsia="zh-CN" w:bidi="ar-SA"/>
    </w:rPr>
  </w:style>
  <w:style w:type="character" w:customStyle="1" w:styleId="137">
    <w:name w:val="ca-13"/>
    <w:qFormat/>
    <w:uiPriority w:val="0"/>
  </w:style>
  <w:style w:type="character" w:customStyle="1" w:styleId="138">
    <w:name w:val="样式1 Char"/>
    <w:link w:val="63"/>
    <w:qFormat/>
    <w:uiPriority w:val="0"/>
    <w:rPr>
      <w:rFonts w:ascii="宋体" w:hAnsi="宋体" w:eastAsia="宋体"/>
      <w:b/>
      <w:bCs/>
      <w:kern w:val="2"/>
      <w:sz w:val="28"/>
      <w:lang w:val="en-US" w:eastAsia="zh-CN" w:bidi="ar-SA"/>
    </w:rPr>
  </w:style>
  <w:style w:type="character" w:customStyle="1" w:styleId="139">
    <w:name w:val="表头 Char Char"/>
    <w:link w:val="60"/>
    <w:qFormat/>
    <w:uiPriority w:val="0"/>
    <w:rPr>
      <w:rFonts w:eastAsia="黑体"/>
      <w:sz w:val="24"/>
      <w:lang w:bidi="ar-SA"/>
    </w:rPr>
  </w:style>
  <w:style w:type="character" w:customStyle="1" w:styleId="140">
    <w:name w:val="正文首行缩进 Char"/>
    <w:link w:val="11"/>
    <w:qFormat/>
    <w:uiPriority w:val="99"/>
    <w:rPr>
      <w:rFonts w:eastAsia="宋体"/>
      <w:kern w:val="2"/>
      <w:sz w:val="21"/>
      <w:lang w:val="en-US" w:eastAsia="zh-CN" w:bidi="ar-SA"/>
    </w:rPr>
  </w:style>
  <w:style w:type="character" w:customStyle="1" w:styleId="141">
    <w:name w:val="报告表小标题 Char Char"/>
    <w:link w:val="118"/>
    <w:qFormat/>
    <w:uiPriority w:val="0"/>
    <w:rPr>
      <w:rFonts w:ascii="宋体"/>
      <w:b/>
      <w:kern w:val="2"/>
      <w:sz w:val="24"/>
    </w:rPr>
  </w:style>
  <w:style w:type="character" w:customStyle="1" w:styleId="142">
    <w:name w:val="报告 Char"/>
    <w:qFormat/>
    <w:uiPriority w:val="0"/>
    <w:rPr>
      <w:rFonts w:eastAsia="宋体"/>
      <w:sz w:val="24"/>
      <w:lang w:val="en-US" w:eastAsia="zh-CN" w:bidi="ar-SA"/>
    </w:rPr>
  </w:style>
  <w:style w:type="character" w:customStyle="1" w:styleId="143">
    <w:name w:val="在编文字 Char"/>
    <w:qFormat/>
    <w:uiPriority w:val="0"/>
    <w:rPr>
      <w:rFonts w:eastAsia="宋体"/>
      <w:kern w:val="2"/>
      <w:sz w:val="24"/>
      <w:lang w:val="en-US" w:eastAsia="zh-CN" w:bidi="ar-SA"/>
    </w:rPr>
  </w:style>
  <w:style w:type="character" w:customStyle="1" w:styleId="144">
    <w:name w:val="样式 题注 + 首行缩进:  2 字符 Char"/>
    <w:link w:val="85"/>
    <w:qFormat/>
    <w:uiPriority w:val="0"/>
    <w:rPr>
      <w:rFonts w:ascii="Arial" w:hAnsi="Arial" w:eastAsia="黑体" w:cs="宋体"/>
      <w:b/>
      <w:kern w:val="2"/>
      <w:sz w:val="21"/>
    </w:rPr>
  </w:style>
  <w:style w:type="character" w:customStyle="1" w:styleId="145">
    <w:name w:val="表文 Char Char"/>
    <w:link w:val="80"/>
    <w:qFormat/>
    <w:uiPriority w:val="0"/>
    <w:rPr>
      <w:kern w:val="2"/>
      <w:sz w:val="24"/>
    </w:rPr>
  </w:style>
  <w:style w:type="character" w:customStyle="1" w:styleId="146">
    <w:name w:val="报告表  段 Char"/>
    <w:link w:val="70"/>
    <w:qFormat/>
    <w:uiPriority w:val="0"/>
    <w:rPr>
      <w:rFonts w:ascii="宋体" w:eastAsia="宋体"/>
      <w:kern w:val="2"/>
      <w:sz w:val="24"/>
      <w:lang w:val="en-US" w:eastAsia="zh-CN" w:bidi="ar-SA"/>
    </w:rPr>
  </w:style>
  <w:style w:type="character" w:customStyle="1" w:styleId="147">
    <w:name w:val="Char Char1 Char Char Char Char Char Char Char Char Char Char Char Char Char Char Char Char Char Char Char Char1 Char Char"/>
    <w:link w:val="77"/>
    <w:qFormat/>
    <w:locked/>
    <w:uiPriority w:val="0"/>
    <w:rPr>
      <w:rFonts w:ascii="宋体" w:hAnsi="宋体"/>
      <w:kern w:val="2"/>
      <w:sz w:val="24"/>
      <w:szCs w:val="24"/>
      <w:lang w:bidi="ar-SA"/>
    </w:rPr>
  </w:style>
  <w:style w:type="character" w:customStyle="1" w:styleId="148">
    <w:name w:val="表格文字 Char Char"/>
    <w:link w:val="89"/>
    <w:qFormat/>
    <w:uiPriority w:val="0"/>
    <w:rPr>
      <w:rFonts w:ascii="宋体" w:hAnsi="宋体" w:eastAsia="宋体" w:cs="宋体"/>
      <w:color w:val="000000"/>
      <w:sz w:val="24"/>
      <w:szCs w:val="21"/>
      <w:lang w:val="en-US" w:eastAsia="zh-CN" w:bidi="ar-SA"/>
    </w:rPr>
  </w:style>
  <w:style w:type="character" w:customStyle="1" w:styleId="149">
    <w:name w:val="表文字 Char Char"/>
    <w:link w:val="90"/>
    <w:qFormat/>
    <w:uiPriority w:val="0"/>
    <w:rPr>
      <w:rFonts w:ascii="宋体" w:hAnsi="宋体" w:eastAsia="宋体"/>
      <w:snapToGrid w:val="0"/>
      <w:color w:val="000000"/>
      <w:sz w:val="21"/>
      <w:szCs w:val="9"/>
    </w:rPr>
  </w:style>
  <w:style w:type="character" w:customStyle="1" w:styleId="150">
    <w:name w:val="表名 Char Char"/>
    <w:link w:val="71"/>
    <w:qFormat/>
    <w:uiPriority w:val="0"/>
    <w:rPr>
      <w:rFonts w:eastAsia="宋体"/>
      <w:b/>
      <w:bCs/>
      <w:sz w:val="24"/>
      <w:lang w:val="en-US" w:eastAsia="zh-CN" w:bidi="ar-SA"/>
    </w:rPr>
  </w:style>
  <w:style w:type="character" w:customStyle="1" w:styleId="151">
    <w:name w:val="正文文本 Char"/>
    <w:link w:val="12"/>
    <w:qFormat/>
    <w:uiPriority w:val="0"/>
    <w:rPr>
      <w:rFonts w:eastAsia="宋体"/>
      <w:kern w:val="2"/>
      <w:sz w:val="21"/>
      <w:lang w:val="en-US" w:eastAsia="zh-CN" w:bidi="ar-SA"/>
    </w:rPr>
  </w:style>
  <w:style w:type="character" w:customStyle="1" w:styleId="152">
    <w:name w:val="样式7 Char"/>
    <w:link w:val="53"/>
    <w:qFormat/>
    <w:uiPriority w:val="0"/>
    <w:rPr>
      <w:rFonts w:ascii="宋体" w:hAnsi="宋体" w:eastAsia="宋体"/>
      <w:kern w:val="2"/>
      <w:sz w:val="24"/>
      <w:szCs w:val="24"/>
      <w:lang w:val="en-US" w:eastAsia="zh-CN" w:bidi="ar-SA"/>
    </w:rPr>
  </w:style>
  <w:style w:type="character" w:customStyle="1" w:styleId="153">
    <w:name w:val="文档结构图 Char"/>
    <w:link w:val="21"/>
    <w:semiHidden/>
    <w:qFormat/>
    <w:uiPriority w:val="99"/>
    <w:rPr>
      <w:rFonts w:ascii="宋体"/>
      <w:kern w:val="2"/>
      <w:sz w:val="18"/>
      <w:szCs w:val="18"/>
    </w:rPr>
  </w:style>
  <w:style w:type="character" w:customStyle="1" w:styleId="154">
    <w:name w:val="1 Char"/>
    <w:link w:val="76"/>
    <w:qFormat/>
    <w:uiPriority w:val="0"/>
    <w:rPr>
      <w:rFonts w:ascii="仿宋_GB2312" w:eastAsia="仿宋_GB2312"/>
      <w:kern w:val="2"/>
      <w:sz w:val="24"/>
      <w:szCs w:val="24"/>
      <w:lang w:val="en-US" w:eastAsia="zh-CN" w:bidi="ar-SA"/>
    </w:rPr>
  </w:style>
  <w:style w:type="character" w:customStyle="1" w:styleId="155">
    <w:name w:val="ca-12"/>
    <w:qFormat/>
    <w:uiPriority w:val="0"/>
  </w:style>
  <w:style w:type="character" w:customStyle="1" w:styleId="156">
    <w:name w:val="样式 (符号) 宋体 小四 行距: 1.5 倍行距 Char"/>
    <w:link w:val="51"/>
    <w:qFormat/>
    <w:uiPriority w:val="0"/>
    <w:rPr>
      <w:rFonts w:hAnsi="宋体" w:eastAsia="宋体" w:cs="宋体"/>
      <w:kern w:val="2"/>
      <w:sz w:val="24"/>
      <w:lang w:val="en-US" w:eastAsia="zh-CN" w:bidi="ar-SA"/>
    </w:rPr>
  </w:style>
  <w:style w:type="character" w:customStyle="1" w:styleId="157">
    <w:name w:val="页脚 Char"/>
    <w:link w:val="29"/>
    <w:qFormat/>
    <w:uiPriority w:val="99"/>
    <w:rPr>
      <w:rFonts w:eastAsia="宋体"/>
      <w:kern w:val="2"/>
      <w:sz w:val="18"/>
      <w:szCs w:val="18"/>
      <w:lang w:val="en-US" w:eastAsia="zh-CN" w:bidi="ar-SA"/>
    </w:rPr>
  </w:style>
  <w:style w:type="character" w:customStyle="1" w:styleId="158">
    <w:name w:val="textfont1"/>
    <w:qFormat/>
    <w:uiPriority w:val="0"/>
    <w:rPr>
      <w:rFonts w:hint="default" w:ascii="_x000B__x000C_" w:hAnsi="_x000B__x000C_"/>
      <w:color w:val="000000"/>
      <w:sz w:val="22"/>
      <w:szCs w:val="22"/>
    </w:rPr>
  </w:style>
  <w:style w:type="character" w:customStyle="1" w:styleId="159">
    <w:name w:val="正文文本缩进 3 Char"/>
    <w:link w:val="31"/>
    <w:qFormat/>
    <w:uiPriority w:val="0"/>
    <w:rPr>
      <w:rFonts w:eastAsia="宋体"/>
      <w:kern w:val="2"/>
      <w:sz w:val="16"/>
      <w:szCs w:val="16"/>
      <w:lang w:val="en-US" w:eastAsia="zh-CN" w:bidi="ar-SA"/>
    </w:rPr>
  </w:style>
  <w:style w:type="character" w:customStyle="1" w:styleId="160">
    <w:name w:val="15"/>
    <w:qFormat/>
    <w:uiPriority w:val="0"/>
    <w:rPr>
      <w:rFonts w:hint="default" w:ascii="Times New Roman" w:hAnsi="Times New Roman" w:cs="Times New Roman"/>
      <w:sz w:val="20"/>
      <w:szCs w:val="20"/>
    </w:rPr>
  </w:style>
  <w:style w:type="character" w:customStyle="1" w:styleId="161">
    <w:name w:val="纯文本 Char"/>
    <w:link w:val="25"/>
    <w:qFormat/>
    <w:uiPriority w:val="0"/>
    <w:rPr>
      <w:rFonts w:ascii="宋体" w:hAnsi="Courier New" w:eastAsia="宋体"/>
      <w:kern w:val="2"/>
      <w:sz w:val="21"/>
      <w:lang w:val="en-US" w:eastAsia="zh-CN" w:bidi="ar-SA"/>
    </w:rPr>
  </w:style>
  <w:style w:type="character" w:customStyle="1" w:styleId="162">
    <w:name w:val="宗兴正文 Char"/>
    <w:link w:val="84"/>
    <w:qFormat/>
    <w:uiPriority w:val="0"/>
    <w:rPr>
      <w:rFonts w:eastAsia="宋体"/>
      <w:kern w:val="2"/>
      <w:sz w:val="24"/>
      <w:szCs w:val="24"/>
      <w:lang w:val="en-US" w:eastAsia="zh-CN" w:bidi="ar-SA"/>
    </w:rPr>
  </w:style>
  <w:style w:type="character" w:customStyle="1" w:styleId="163">
    <w:name w:val="标题 3 Char"/>
    <w:link w:val="9"/>
    <w:qFormat/>
    <w:uiPriority w:val="0"/>
    <w:rPr>
      <w:rFonts w:eastAsia="宋体"/>
      <w:b/>
      <w:bCs/>
      <w:kern w:val="2"/>
      <w:sz w:val="32"/>
      <w:szCs w:val="32"/>
      <w:lang w:val="en-US" w:eastAsia="zh-CN" w:bidi="ar-SA"/>
    </w:rPr>
  </w:style>
  <w:style w:type="character" w:customStyle="1" w:styleId="164">
    <w:name w:val="正文（首行缩进两字） Char Char Char Char Char Char"/>
    <w:qFormat/>
    <w:uiPriority w:val="0"/>
    <w:rPr>
      <w:rFonts w:eastAsia="宋体"/>
      <w:kern w:val="2"/>
      <w:sz w:val="21"/>
      <w:lang w:val="en-US" w:eastAsia="zh-CN" w:bidi="ar-SA"/>
    </w:rPr>
  </w:style>
  <w:style w:type="character" w:customStyle="1" w:styleId="165">
    <w:name w:val="标题 2 Char"/>
    <w:link w:val="8"/>
    <w:qFormat/>
    <w:uiPriority w:val="0"/>
    <w:rPr>
      <w:rFonts w:ascii="Arial" w:hAnsi="Arial" w:eastAsia="黑体"/>
      <w:b/>
      <w:bCs/>
      <w:kern w:val="2"/>
      <w:sz w:val="32"/>
      <w:szCs w:val="32"/>
      <w:lang w:val="en-US" w:eastAsia="zh-CN" w:bidi="ar-SA"/>
    </w:rPr>
  </w:style>
  <w:style w:type="character" w:customStyle="1" w:styleId="166">
    <w:name w:val="251"/>
    <w:basedOn w:val="39"/>
    <w:qFormat/>
    <w:uiPriority w:val="0"/>
  </w:style>
  <w:style w:type="character" w:customStyle="1" w:styleId="167">
    <w:name w:val=" Char Char2"/>
    <w:qFormat/>
    <w:uiPriority w:val="0"/>
    <w:rPr>
      <w:rFonts w:eastAsia="宋体"/>
      <w:kern w:val="2"/>
      <w:sz w:val="21"/>
      <w:szCs w:val="24"/>
      <w:lang w:val="en-US" w:eastAsia="zh-CN" w:bidi="ar-SA"/>
    </w:rPr>
  </w:style>
  <w:style w:type="character" w:customStyle="1" w:styleId="168">
    <w:name w:val="表格 Char"/>
    <w:link w:val="72"/>
    <w:qFormat/>
    <w:uiPriority w:val="0"/>
    <w:rPr>
      <w:kern w:val="2"/>
      <w:sz w:val="24"/>
      <w:szCs w:val="24"/>
    </w:rPr>
  </w:style>
  <w:style w:type="character" w:customStyle="1" w:styleId="169">
    <w:name w:val="文章正文样式 Char Char"/>
    <w:link w:val="75"/>
    <w:qFormat/>
    <w:uiPriority w:val="0"/>
    <w:rPr>
      <w:rFonts w:ascii="宋体" w:hAnsi="宋体" w:cs="宋体"/>
      <w:kern w:val="2"/>
      <w:sz w:val="24"/>
    </w:rPr>
  </w:style>
  <w:style w:type="character" w:customStyle="1" w:styleId="170">
    <w:name w:val="apple-converted-space"/>
    <w:basedOn w:val="39"/>
    <w:qFormat/>
    <w:uiPriority w:val="0"/>
  </w:style>
  <w:style w:type="character" w:customStyle="1" w:styleId="171">
    <w:name w:val="宗兴正文 Char Char"/>
    <w:qFormat/>
    <w:uiPriority w:val="0"/>
    <w:rPr>
      <w:kern w:val="2"/>
      <w:sz w:val="24"/>
      <w:szCs w:val="24"/>
    </w:rPr>
  </w:style>
  <w:style w:type="character" w:customStyle="1" w:styleId="172">
    <w:name w:val="ca-15"/>
    <w:qFormat/>
    <w:uiPriority w:val="0"/>
  </w:style>
  <w:style w:type="character" w:customStyle="1" w:styleId="173">
    <w:name w:val="正文缩进 Char"/>
    <w:link w:val="19"/>
    <w:qFormat/>
    <w:uiPriority w:val="0"/>
    <w:rPr>
      <w:rFonts w:eastAsia="宋体"/>
      <w:kern w:val="2"/>
      <w:sz w:val="21"/>
      <w:lang w:val="en-US" w:eastAsia="zh-CN" w:bidi="ar-SA"/>
    </w:rPr>
  </w:style>
  <w:style w:type="character" w:customStyle="1" w:styleId="174">
    <w:name w:val="页眉 Char"/>
    <w:link w:val="4"/>
    <w:qFormat/>
    <w:uiPriority w:val="0"/>
    <w:rPr>
      <w:rFonts w:eastAsia="宋体"/>
      <w:kern w:val="2"/>
      <w:sz w:val="18"/>
      <w:szCs w:val="18"/>
      <w:lang w:val="en-US" w:eastAsia="zh-CN" w:bidi="ar-SA"/>
    </w:rPr>
  </w:style>
  <w:style w:type="character" w:customStyle="1" w:styleId="175">
    <w:name w:val="表格文字 Char"/>
    <w:qFormat/>
    <w:uiPriority w:val="0"/>
    <w:rPr>
      <w:rFonts w:eastAsia="宋体"/>
      <w:kern w:val="2"/>
      <w:position w:val="-10"/>
      <w:sz w:val="21"/>
      <w:lang w:val="en-US" w:eastAsia="zh-CN" w:bidi="ar-SA"/>
    </w:rPr>
  </w:style>
  <w:style w:type="character" w:customStyle="1" w:styleId="176">
    <w:name w:val="报告表 段 Char"/>
    <w:link w:val="56"/>
    <w:qFormat/>
    <w:uiPriority w:val="0"/>
    <w:rPr>
      <w:rFonts w:ascii="宋体" w:hAnsi="宋体" w:eastAsia="宋体"/>
      <w:bCs/>
      <w:kern w:val="2"/>
      <w:sz w:val="24"/>
      <w:szCs w:val="24"/>
      <w:lang w:val="en-US" w:eastAsia="zh-CN" w:bidi="ar-SA"/>
    </w:rPr>
  </w:style>
  <w:style w:type="character" w:customStyle="1" w:styleId="177">
    <w:name w:val="报告 Char1"/>
    <w:link w:val="55"/>
    <w:qFormat/>
    <w:uiPriority w:val="0"/>
    <w:rPr>
      <w:rFonts w:eastAsia="宋体"/>
      <w:kern w:val="2"/>
      <w:sz w:val="24"/>
      <w:lang w:val="en-US" w:eastAsia="zh-CN" w:bidi="ar-SA"/>
    </w:rPr>
  </w:style>
  <w:style w:type="character" w:customStyle="1" w:styleId="178">
    <w:name w:val="样式 小四 黑色 行距: 固定值 26 磅 Char"/>
    <w:link w:val="61"/>
    <w:qFormat/>
    <w:uiPriority w:val="0"/>
    <w:rPr>
      <w:rFonts w:eastAsia="宋体" w:cs="宋体"/>
      <w:color w:val="000000"/>
      <w:spacing w:val="6"/>
      <w:kern w:val="2"/>
      <w:sz w:val="24"/>
      <w:lang w:val="en-US" w:eastAsia="zh-CN" w:bidi="ar-SA"/>
    </w:rPr>
  </w:style>
  <w:style w:type="character" w:customStyle="1" w:styleId="179">
    <w:name w:val="报告表  段 Char Char"/>
    <w:qFormat/>
    <w:uiPriority w:val="0"/>
    <w:rPr>
      <w:rFonts w:ascii="宋体" w:eastAsia="宋体"/>
      <w:sz w:val="24"/>
      <w:lang w:val="en-US" w:eastAsia="zh-CN" w:bidi="ar-SA"/>
    </w:rPr>
  </w:style>
  <w:style w:type="character" w:customStyle="1" w:styleId="180">
    <w:name w:val="ca-14"/>
    <w:qFormat/>
    <w:uiPriority w:val="0"/>
  </w:style>
  <w:style w:type="character" w:customStyle="1" w:styleId="181">
    <w:name w:val="报告表 段 Char Char"/>
    <w:qFormat/>
    <w:uiPriority w:val="0"/>
    <w:rPr>
      <w:rFonts w:ascii="宋体" w:hAnsi="宋体" w:eastAsia="宋体"/>
      <w:bCs/>
      <w:kern w:val="2"/>
      <w:sz w:val="24"/>
      <w:szCs w:val="24"/>
      <w:lang w:val="en-US" w:eastAsia="zh-CN" w:bidi="ar-SA"/>
    </w:rPr>
  </w:style>
  <w:style w:type="table" w:customStyle="1" w:styleId="182">
    <w:name w:val="Table Normal"/>
    <w:unhideWhenUsed/>
    <w:qFormat/>
    <w:uiPriority w:val="2"/>
    <w:pPr>
      <w:widowControl w:val="0"/>
    </w:pPr>
    <w:rPr>
      <w:rFonts w:ascii="Calibri" w:hAnsi="Calibri"/>
      <w:sz w:val="22"/>
      <w:szCs w:val="22"/>
      <w:lang w:val="en-US" w:eastAsia="en-US" w:bidi="ar-SA"/>
    </w:rPr>
    <w:tblPr>
      <w:tblCellMar>
        <w:top w:w="0" w:type="dxa"/>
        <w:left w:w="0" w:type="dxa"/>
        <w:bottom w:w="0" w:type="dxa"/>
        <w:right w:w="0" w:type="dxa"/>
      </w:tblCellMar>
    </w:tblPr>
  </w:style>
  <w:style w:type="character" w:customStyle="1" w:styleId="183">
    <w:name w:val="fontstyle01"/>
    <w:qFormat/>
    <w:uiPriority w:val="0"/>
    <w:rPr>
      <w:rFonts w:hint="eastAsia" w:ascii="仿宋" w:hAnsi="仿宋" w:eastAsia="仿宋" w:cs="宋体"/>
      <w:color w:val="000000"/>
      <w:sz w:val="28"/>
      <w:szCs w:val="28"/>
    </w:rPr>
  </w:style>
  <w:style w:type="character" w:customStyle="1" w:styleId="184">
    <w:name w:val="fontstyle11"/>
    <w:basedOn w:val="39"/>
    <w:qFormat/>
    <w:uiPriority w:val="0"/>
    <w:rPr>
      <w:rFonts w:ascii="方正仿宋_GBK" w:hAnsi="方正仿宋_GBK" w:eastAsia="方正仿宋_GBK" w:cs="方正仿宋_GBK"/>
      <w:color w:val="000000"/>
      <w:sz w:val="30"/>
      <w:szCs w:val="30"/>
    </w:rPr>
  </w:style>
  <w:style w:type="paragraph" w:customStyle="1" w:styleId="185">
    <w:name w:val="正文01"/>
    <w:basedOn w:val="1"/>
    <w:qFormat/>
    <w:uiPriority w:val="0"/>
    <w:pPr>
      <w:spacing w:before="60" w:line="460" w:lineRule="exact"/>
      <w:ind w:firstLine="200" w:firstLineChars="200"/>
    </w:pPr>
    <w:rPr>
      <w:sz w:val="24"/>
      <w:szCs w:val="20"/>
    </w:rPr>
  </w:style>
  <w:style w:type="paragraph" w:customStyle="1" w:styleId="186">
    <w:name w:val="正文文本2"/>
    <w:basedOn w:val="12"/>
    <w:qFormat/>
    <w:uiPriority w:val="0"/>
    <w:pPr>
      <w:spacing w:line="360" w:lineRule="auto"/>
      <w:ind w:firstLine="480" w:firstLineChars="200"/>
    </w:pPr>
    <w:rPr>
      <w:rFonts w:ascii="宋体" w:eastAsia="宋体" w:cs="宋体"/>
      <w:sz w:val="24"/>
    </w:rPr>
  </w:style>
  <w:style w:type="paragraph" w:styleId="187">
    <w:name w:val="List Paragraph"/>
    <w:basedOn w:val="1"/>
    <w:qFormat/>
    <w:uiPriority w:val="99"/>
    <w:pPr>
      <w:widowControl w:val="0"/>
      <w:ind w:firstLine="420" w:firstLineChars="200"/>
      <w:jc w:val="both"/>
    </w:pPr>
    <w:rPr>
      <w:rFonts w:asciiTheme="minorHAnsi" w:hAnsiTheme="minorHAnsi" w:eastAsiaTheme="minorEastAsia" w:cstheme="minorBidi"/>
      <w:kern w:val="2"/>
      <w:sz w:val="21"/>
    </w:rPr>
  </w:style>
</w:styles>
</file>

<file path=word/_rels/document.xml.rels><?xml version="1.0" encoding="UTF-8" standalone="yes"?>
<Relationships xmlns="http://schemas.openxmlformats.org/package/2006/relationships"><Relationship Id="rId9" Type="http://schemas.openxmlformats.org/officeDocument/2006/relationships/image" Target="media/image1.emf"/><Relationship Id="rId8" Type="http://schemas.openxmlformats.org/officeDocument/2006/relationships/oleObject" Target="embeddings/oleObject1.bin"/><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3.emf"/><Relationship Id="rId12" Type="http://schemas.openxmlformats.org/officeDocument/2006/relationships/oleObject" Target="embeddings/oleObject3.bin"/><Relationship Id="rId11" Type="http://schemas.openxmlformats.org/officeDocument/2006/relationships/image" Target="media/image2.emf"/><Relationship Id="rId10" Type="http://schemas.openxmlformats.org/officeDocument/2006/relationships/oleObject" Target="embeddings/oleObject2.bin"/><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10685</Words>
  <Characters>60910</Characters>
  <Lines>1</Lines>
  <Paragraphs>1</Paragraphs>
  <TotalTime>1</TotalTime>
  <ScaleCrop>false</ScaleCrop>
  <LinksUpToDate>false</LinksUpToDate>
  <CharactersWithSpaces>71453</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2018-09-03T14:48:00Z</dcterms:created>
  <dc:creator>微软用户</dc:creator>
  <cp:lastModifiedBy>海西环评-big张</cp:lastModifiedBy>
  <cp:lastPrinted>2014-01-16T06:54:00Z</cp:lastPrinted>
  <dcterms:modified xsi:type="dcterms:W3CDTF">2020-03-17T01:50:03Z</dcterms:modified>
  <dc:title>建设项目基本情况</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